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6F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43890EF8">
      <w:pPr>
        <w:widowControl w:val="0"/>
        <w:spacing w:before="240" w:beforeLines="0" w:beforeAutospacing="0" w:after="60" w:afterLines="0" w:afterAutospacing="0"/>
        <w:jc w:val="center"/>
        <w:outlineLvl w:val="0"/>
        <w:rPr>
          <w:rFonts w:hint="eastAsia" w:ascii="Arial" w:hAnsi="Arial" w:eastAsia="宋体" w:cs="Times New Roman"/>
          <w:b/>
          <w:kern w:val="2"/>
          <w:sz w:val="32"/>
          <w:szCs w:val="24"/>
          <w:lang w:val="en-US" w:eastAsia="zh-CN" w:bidi="ar-SA"/>
        </w:rPr>
      </w:pPr>
    </w:p>
    <w:p w14:paraId="1F31F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pacing w:val="142"/>
          <w:sz w:val="100"/>
          <w:szCs w:val="100"/>
        </w:rPr>
      </w:pPr>
      <w:r>
        <w:rPr>
          <w:rFonts w:hint="eastAsia" w:ascii="宋体" w:hAnsi="宋体" w:eastAsia="宋体" w:cs="宋体"/>
          <w:b/>
          <w:bCs/>
          <w:color w:val="FF0000"/>
          <w:spacing w:val="113"/>
          <w:kern w:val="0"/>
          <w:sz w:val="100"/>
          <w:szCs w:val="100"/>
          <w:lang w:val="en-US" w:eastAsia="zh-CN"/>
        </w:rPr>
        <w:t>岚县统计信息</w:t>
      </w:r>
    </w:p>
    <w:p w14:paraId="7868628A">
      <w:pPr>
        <w:spacing w:line="240" w:lineRule="auto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</w:p>
    <w:p w14:paraId="1790ABAA">
      <w:pPr>
        <w:spacing w:line="240" w:lineRule="auto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</w:p>
    <w:p w14:paraId="1F92A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500" w:lineRule="exact"/>
        <w:textAlignment w:val="auto"/>
        <w:rPr>
          <w:rFonts w:hint="eastAsia" w:ascii="华文楷体" w:hAnsi="华文楷体" w:eastAsia="华文楷体" w:cs="华文楷体"/>
          <w:b/>
          <w:bCs/>
          <w:sz w:val="32"/>
          <w:szCs w:val="32"/>
        </w:rPr>
      </w:pPr>
    </w:p>
    <w:p w14:paraId="37E9768A">
      <w:pPr>
        <w:spacing w:line="500" w:lineRule="exact"/>
        <w:jc w:val="center"/>
        <w:rPr>
          <w:rFonts w:hint="default" w:ascii="Times New Roman" w:hAnsi="Times New Roman" w:eastAsia="楷体" w:cs="Times New Roman"/>
          <w:b/>
          <w:bCs/>
          <w:sz w:val="32"/>
          <w:szCs w:val="32"/>
        </w:rPr>
      </w:pPr>
      <w:r>
        <w:rPr>
          <w:rFonts w:ascii="Times New Roman" w:hAnsi="Times New Roman" w:eastAsia="宋体" w:cs="Times New Roman"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320675</wp:posOffset>
                </wp:positionV>
                <wp:extent cx="5579745" cy="7620"/>
                <wp:effectExtent l="0" t="13970" r="1905" b="1651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762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25.25pt;height:0.6pt;width:439.35pt;mso-position-horizontal:center;z-index:251659264;mso-width-relative:page;mso-height-relative:page;" filled="f" stroked="t" coordsize="21600,21600" o:gfxdata="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/hfBPYAAAABgEAAA8AAAAAAAAAAQAgAAAAIgAAAGRy&#10;cy9kb3ducmV2LnhtbFBLAQIUABQAAAAIAIdO4kBXb7NkBQIAAAAEAAAOAAAAAAAAAAEAIAAAACcB&#10;AABkcnMvZTJvRG9jLnhtbFBLBQYAAAAABgAGAFkBAACeBQAAAAA=&#10;">
                <v:fill on="f" focussize="0,0"/>
                <v:stroke weight="2.25pt" color="#FF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 xml:space="preserve">岚县统计局编          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 xml:space="preserve">         20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>日</w:t>
      </w:r>
    </w:p>
    <w:p w14:paraId="30A72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00" w:line="240" w:lineRule="auto"/>
        <w:jc w:val="both"/>
        <w:textAlignment w:val="auto"/>
        <w:rPr>
          <w:rFonts w:hint="eastAsia" w:ascii="方正小标宋_GBK" w:hAnsi="宋体" w:eastAsia="方正小标宋_GBK" w:cs="Times New Roman"/>
          <w:color w:val="auto"/>
          <w:sz w:val="32"/>
          <w:szCs w:val="32"/>
        </w:rPr>
      </w:pPr>
    </w:p>
    <w:p w14:paraId="5C475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202</w:t>
      </w:r>
      <w:r>
        <w:rPr>
          <w:rFonts w:hint="default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年1-8月份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主要经济指标完成情况</w:t>
      </w:r>
    </w:p>
    <w:p w14:paraId="1F83EE75">
      <w:pPr>
        <w:widowControl w:val="0"/>
        <w:spacing w:before="240" w:beforeLines="0" w:beforeAutospacing="0" w:after="60" w:afterLines="0" w:afterAutospacing="0"/>
        <w:jc w:val="center"/>
        <w:outlineLvl w:val="0"/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32"/>
          <w:szCs w:val="32"/>
          <w:lang w:val="en-US" w:eastAsia="zh-CN" w:bidi="ar-SA"/>
        </w:rPr>
        <w:t xml:space="preserve">                                     </w:t>
      </w:r>
      <w:r>
        <w:rPr>
          <w:rFonts w:hint="eastAsia" w:ascii="仿宋" w:hAnsi="仿宋" w:eastAsia="仿宋" w:cs="仿宋"/>
          <w:b w:val="0"/>
          <w:bCs/>
          <w:color w:val="auto"/>
          <w:kern w:val="2"/>
          <w:sz w:val="21"/>
          <w:szCs w:val="21"/>
          <w:lang w:val="en-US" w:eastAsia="zh-CN" w:bidi="ar-SA"/>
        </w:rPr>
        <w:t>单位：万元</w:t>
      </w:r>
    </w:p>
    <w:tbl>
      <w:tblPr>
        <w:tblStyle w:val="2"/>
        <w:tblW w:w="8253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1"/>
        <w:gridCol w:w="1133"/>
        <w:gridCol w:w="1150"/>
        <w:gridCol w:w="1129"/>
      </w:tblGrid>
      <w:tr w14:paraId="31DF35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right w:val="single" w:color="auto" w:sz="4" w:space="0"/>
            </w:tcBorders>
            <w:noWrap w:val="0"/>
            <w:vAlign w:val="center"/>
          </w:tcPr>
          <w:p w14:paraId="227941AC"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</w:rPr>
              <w:t>指标名称</w:t>
            </w:r>
          </w:p>
        </w:tc>
        <w:tc>
          <w:tcPr>
            <w:tcW w:w="11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DAD95"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</w:rPr>
              <w:t>1—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</w:rPr>
              <w:t>月</w:t>
            </w:r>
          </w:p>
        </w:tc>
        <w:tc>
          <w:tcPr>
            <w:tcW w:w="11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2F304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</w:rPr>
              <w:t>增速（%）</w:t>
            </w:r>
          </w:p>
        </w:tc>
        <w:tc>
          <w:tcPr>
            <w:tcW w:w="1129" w:type="dxa"/>
            <w:tcBorders>
              <w:left w:val="single" w:color="auto" w:sz="4" w:space="0"/>
            </w:tcBorders>
            <w:noWrap w:val="0"/>
            <w:vAlign w:val="center"/>
          </w:tcPr>
          <w:p w14:paraId="083A22C7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eastAsia="zh-CN"/>
              </w:rPr>
              <w:t>增速排名</w:t>
            </w:r>
          </w:p>
        </w:tc>
      </w:tr>
      <w:tr w14:paraId="0697AA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right w:val="single" w:color="auto" w:sz="4" w:space="0"/>
            </w:tcBorders>
            <w:noWrap w:val="0"/>
            <w:vAlign w:val="center"/>
          </w:tcPr>
          <w:p w14:paraId="772654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一、地区生产总值（2026年1-2季度）</w:t>
            </w:r>
          </w:p>
        </w:tc>
        <w:tc>
          <w:tcPr>
            <w:tcW w:w="11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BB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409178 </w:t>
            </w:r>
          </w:p>
        </w:tc>
        <w:tc>
          <w:tcPr>
            <w:tcW w:w="11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F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 </w:t>
            </w:r>
          </w:p>
        </w:tc>
        <w:tc>
          <w:tcPr>
            <w:tcW w:w="1129" w:type="dxa"/>
            <w:tcBorders>
              <w:left w:val="single" w:color="auto" w:sz="4" w:space="0"/>
            </w:tcBorders>
            <w:noWrap w:val="0"/>
            <w:vAlign w:val="center"/>
          </w:tcPr>
          <w:p w14:paraId="58658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EF954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right w:val="single" w:color="auto" w:sz="4" w:space="0"/>
            </w:tcBorders>
            <w:noWrap w:val="0"/>
            <w:vAlign w:val="center"/>
          </w:tcPr>
          <w:p w14:paraId="11BD5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二、规模以上工业增加值</w:t>
            </w:r>
          </w:p>
        </w:tc>
        <w:tc>
          <w:tcPr>
            <w:tcW w:w="11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22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11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3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-0.4 </w:t>
            </w:r>
          </w:p>
        </w:tc>
        <w:tc>
          <w:tcPr>
            <w:tcW w:w="1129" w:type="dxa"/>
            <w:tcBorders>
              <w:left w:val="single" w:color="auto" w:sz="4" w:space="0"/>
            </w:tcBorders>
            <w:noWrap w:val="0"/>
            <w:vAlign w:val="center"/>
          </w:tcPr>
          <w:p w14:paraId="0B894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0A2232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right w:val="single" w:color="auto" w:sz="4" w:space="0"/>
            </w:tcBorders>
            <w:noWrap w:val="0"/>
            <w:vAlign w:val="center"/>
          </w:tcPr>
          <w:p w14:paraId="07E694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三、固定资产投资完成额</w:t>
            </w:r>
          </w:p>
        </w:tc>
        <w:tc>
          <w:tcPr>
            <w:tcW w:w="11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5A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105630</w:t>
            </w:r>
          </w:p>
        </w:tc>
        <w:tc>
          <w:tcPr>
            <w:tcW w:w="11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95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-29.8 </w:t>
            </w:r>
          </w:p>
        </w:tc>
        <w:tc>
          <w:tcPr>
            <w:tcW w:w="1129" w:type="dxa"/>
            <w:tcBorders>
              <w:left w:val="single" w:color="auto" w:sz="4" w:space="0"/>
            </w:tcBorders>
            <w:noWrap w:val="0"/>
            <w:vAlign w:val="center"/>
          </w:tcPr>
          <w:p w14:paraId="5539B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53100A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right w:val="single" w:color="auto" w:sz="4" w:space="0"/>
            </w:tcBorders>
            <w:noWrap w:val="0"/>
            <w:vAlign w:val="center"/>
          </w:tcPr>
          <w:p w14:paraId="5F68C5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四、社会消费品零售总额（2026年1-2季度）</w:t>
            </w:r>
          </w:p>
        </w:tc>
        <w:tc>
          <w:tcPr>
            <w:tcW w:w="11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E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51855 </w:t>
            </w:r>
          </w:p>
        </w:tc>
        <w:tc>
          <w:tcPr>
            <w:tcW w:w="11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7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 </w:t>
            </w:r>
          </w:p>
        </w:tc>
        <w:tc>
          <w:tcPr>
            <w:tcW w:w="1129" w:type="dxa"/>
            <w:tcBorders>
              <w:left w:val="single" w:color="auto" w:sz="4" w:space="0"/>
            </w:tcBorders>
            <w:noWrap w:val="0"/>
            <w:vAlign w:val="center"/>
          </w:tcPr>
          <w:p w14:paraId="0E2B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89520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DD7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其中：限额以上社会消费品零售额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7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13273 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5C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 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8D3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A0C92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083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五、一般公共预算收入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0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100104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75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78.43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D777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87A1E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943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六、一般公共预算支出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5F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178472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59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8.9 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A216EFE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  <w:t>1</w:t>
            </w:r>
            <w:bookmarkStart w:id="0" w:name="_GoBack"/>
            <w:bookmarkEnd w:id="0"/>
          </w:p>
        </w:tc>
      </w:tr>
      <w:tr w14:paraId="3A73BB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right w:val="single" w:color="auto" w:sz="4" w:space="0"/>
            </w:tcBorders>
            <w:noWrap w:val="0"/>
            <w:vAlign w:val="center"/>
          </w:tcPr>
          <w:p w14:paraId="4591D1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七、居民人均可支配收入（2026年1-2季度）（元）</w:t>
            </w:r>
          </w:p>
        </w:tc>
        <w:tc>
          <w:tcPr>
            <w:tcW w:w="11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B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9094</w:t>
            </w:r>
          </w:p>
        </w:tc>
        <w:tc>
          <w:tcPr>
            <w:tcW w:w="11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BA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 </w:t>
            </w:r>
          </w:p>
        </w:tc>
        <w:tc>
          <w:tcPr>
            <w:tcW w:w="1129" w:type="dxa"/>
            <w:tcBorders>
              <w:left w:val="single" w:color="auto" w:sz="4" w:space="0"/>
            </w:tcBorders>
            <w:noWrap w:val="0"/>
            <w:vAlign w:val="center"/>
          </w:tcPr>
          <w:p w14:paraId="5B509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D6D87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right w:val="single" w:color="auto" w:sz="4" w:space="0"/>
            </w:tcBorders>
            <w:noWrap w:val="0"/>
            <w:vAlign w:val="center"/>
          </w:tcPr>
          <w:p w14:paraId="1B6440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八、城镇居民人均可支配收入（2026年1-2季度）（元）</w:t>
            </w:r>
          </w:p>
        </w:tc>
        <w:tc>
          <w:tcPr>
            <w:tcW w:w="11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0A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14991</w:t>
            </w:r>
          </w:p>
        </w:tc>
        <w:tc>
          <w:tcPr>
            <w:tcW w:w="11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0B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 </w:t>
            </w:r>
          </w:p>
        </w:tc>
        <w:tc>
          <w:tcPr>
            <w:tcW w:w="1129" w:type="dxa"/>
            <w:tcBorders>
              <w:left w:val="single" w:color="auto" w:sz="4" w:space="0"/>
            </w:tcBorders>
            <w:noWrap w:val="0"/>
            <w:vAlign w:val="center"/>
          </w:tcPr>
          <w:p w14:paraId="0235E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7E0487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841" w:type="dxa"/>
            <w:tcBorders>
              <w:right w:val="single" w:color="auto" w:sz="4" w:space="0"/>
            </w:tcBorders>
            <w:noWrap w:val="0"/>
            <w:vAlign w:val="center"/>
          </w:tcPr>
          <w:p w14:paraId="5BCD46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九、农村居民人均可支配收入（2026年1-2季度）（元）</w:t>
            </w:r>
          </w:p>
        </w:tc>
        <w:tc>
          <w:tcPr>
            <w:tcW w:w="11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4A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6304</w:t>
            </w:r>
          </w:p>
        </w:tc>
        <w:tc>
          <w:tcPr>
            <w:tcW w:w="11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A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5.7 </w:t>
            </w:r>
          </w:p>
        </w:tc>
        <w:tc>
          <w:tcPr>
            <w:tcW w:w="1129" w:type="dxa"/>
            <w:tcBorders>
              <w:left w:val="single" w:color="auto" w:sz="4" w:space="0"/>
            </w:tcBorders>
            <w:noWrap w:val="0"/>
            <w:vAlign w:val="center"/>
          </w:tcPr>
          <w:p w14:paraId="0DE42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</w:tbl>
    <w:p w14:paraId="2F50345B">
      <w:pPr>
        <w:rPr>
          <w:rFonts w:ascii="Times New Roman" w:hAnsi="Times New Roman" w:eastAsia="宋体" w:cs="Times New Roman"/>
        </w:rPr>
      </w:pPr>
    </w:p>
    <w:p w14:paraId="26E52665">
      <w:pPr>
        <w:rPr>
          <w:rFonts w:ascii="Times New Roman" w:hAnsi="Times New Roman" w:eastAsia="宋体" w:cs="Times New Roman"/>
        </w:rPr>
      </w:pPr>
    </w:p>
    <w:p w14:paraId="240418A4">
      <w:pPr>
        <w:rPr>
          <w:rFonts w:ascii="Times New Roman" w:hAnsi="Times New Roman" w:eastAsia="宋体" w:cs="Times New Roman"/>
        </w:rPr>
      </w:pPr>
    </w:p>
    <w:p w14:paraId="7F73F7A8">
      <w:pPr>
        <w:rPr>
          <w:rFonts w:ascii="Times New Roman" w:hAnsi="Times New Roman" w:eastAsia="宋体" w:cs="Times New Roman"/>
        </w:rPr>
      </w:pPr>
    </w:p>
    <w:p w14:paraId="12CA5605">
      <w:pPr>
        <w:rPr>
          <w:rFonts w:ascii="Times New Roman" w:hAnsi="Times New Roman" w:eastAsia="宋体" w:cs="Times New Roman"/>
        </w:rPr>
      </w:pPr>
    </w:p>
    <w:p w14:paraId="352C2596">
      <w:pPr>
        <w:rPr>
          <w:rFonts w:ascii="Times New Roman" w:hAnsi="Times New Roman" w:eastAsia="宋体" w:cs="Times New Roman"/>
        </w:rPr>
      </w:pPr>
    </w:p>
    <w:p w14:paraId="30DA1356">
      <w:pPr>
        <w:rPr>
          <w:rFonts w:ascii="Times New Roman" w:hAnsi="Times New Roman" w:eastAsia="宋体" w:cs="Times New Roman"/>
        </w:rPr>
      </w:pPr>
    </w:p>
    <w:p w14:paraId="5F207A0D">
      <w:pPr>
        <w:rPr>
          <w:rFonts w:ascii="Times New Roman" w:hAnsi="Times New Roman" w:eastAsia="宋体" w:cs="Times New Roman"/>
        </w:rPr>
      </w:pPr>
    </w:p>
    <w:p w14:paraId="7CAF4581">
      <w:pPr>
        <w:rPr>
          <w:rFonts w:ascii="Times New Roman" w:hAnsi="Times New Roman" w:eastAsia="宋体" w:cs="Times New Roman"/>
        </w:rPr>
      </w:pPr>
    </w:p>
    <w:p w14:paraId="1DC373C3">
      <w:pPr>
        <w:rPr>
          <w:rFonts w:ascii="Times New Roman" w:hAnsi="Times New Roman" w:eastAsia="宋体" w:cs="Times New Roman"/>
        </w:rPr>
      </w:pPr>
    </w:p>
    <w:p w14:paraId="7C716A8D">
      <w:pPr>
        <w:rPr>
          <w:rFonts w:ascii="Times New Roman" w:hAnsi="Times New Roman" w:eastAsia="宋体" w:cs="Times New Roman"/>
        </w:rPr>
      </w:pPr>
    </w:p>
    <w:p w14:paraId="1568045F">
      <w:pPr>
        <w:widowControl w:val="0"/>
        <w:spacing w:before="240" w:beforeLines="0" w:beforeAutospacing="0" w:after="60" w:afterLines="0" w:afterAutospacing="0"/>
        <w:jc w:val="both"/>
        <w:outlineLvl w:val="0"/>
        <w:rPr>
          <w:rFonts w:ascii="Arial" w:hAnsi="Arial" w:eastAsia="宋体" w:cs="Times New Roman"/>
          <w:b/>
          <w:kern w:val="2"/>
          <w:sz w:val="32"/>
          <w:szCs w:val="24"/>
          <w:lang w:val="en-US" w:eastAsia="zh-CN" w:bidi="ar-SA"/>
        </w:rPr>
      </w:pPr>
    </w:p>
    <w:p w14:paraId="23ABFD87">
      <w:pPr>
        <w:rPr>
          <w:rFonts w:ascii="Times New Roman" w:hAnsi="Times New Roman" w:eastAsia="宋体" w:cs="Times New Roman"/>
        </w:rPr>
      </w:pPr>
    </w:p>
    <w:p w14:paraId="7CC34FC7">
      <w:pPr>
        <w:rPr>
          <w:rFonts w:ascii="Times New Roman" w:hAnsi="Times New Roman" w:eastAsia="宋体" w:cs="Times New Roman"/>
        </w:rPr>
      </w:pPr>
    </w:p>
    <w:p w14:paraId="596ECA2E">
      <w:pPr>
        <w:rPr>
          <w:rFonts w:ascii="Times New Roman" w:hAnsi="Times New Roman" w:eastAsia="宋体" w:cs="Times New Roman"/>
        </w:rPr>
      </w:pPr>
    </w:p>
    <w:p w14:paraId="3BF0BD3F">
      <w:pPr>
        <w:rPr>
          <w:rFonts w:ascii="Times New Roman" w:hAnsi="Times New Roman" w:eastAsia="宋体" w:cs="Times New Roman"/>
        </w:rPr>
      </w:pPr>
    </w:p>
    <w:p w14:paraId="503DE8EF"/>
    <w:p w14:paraId="0A8D843D"/>
    <w:p w14:paraId="0AB90A64"/>
    <w:p w14:paraId="04397485"/>
    <w:p w14:paraId="26A8514C"/>
    <w:p w14:paraId="091A0954"/>
    <w:p w14:paraId="324643DC"/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43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0AA3A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46DDD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F46DDD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F068ED"/>
    <w:rsid w:val="00384B9C"/>
    <w:rsid w:val="10E44AF7"/>
    <w:rsid w:val="1AF068ED"/>
    <w:rsid w:val="2503602B"/>
    <w:rsid w:val="289783DD"/>
    <w:rsid w:val="2DDFD07B"/>
    <w:rsid w:val="35C30488"/>
    <w:rsid w:val="3E4E375D"/>
    <w:rsid w:val="3FFD867D"/>
    <w:rsid w:val="464A2500"/>
    <w:rsid w:val="4A7F1C0F"/>
    <w:rsid w:val="4BBF0F4B"/>
    <w:rsid w:val="51872229"/>
    <w:rsid w:val="5BDFF75D"/>
    <w:rsid w:val="5F65F62A"/>
    <w:rsid w:val="657B7B0E"/>
    <w:rsid w:val="71D37DBD"/>
    <w:rsid w:val="757F86A2"/>
    <w:rsid w:val="77B89E41"/>
    <w:rsid w:val="8EB92298"/>
    <w:rsid w:val="9EFEB360"/>
    <w:rsid w:val="B3C773DA"/>
    <w:rsid w:val="DFFF2604"/>
    <w:rsid w:val="EF6B67BC"/>
    <w:rsid w:val="FABEACD7"/>
    <w:rsid w:val="FD6E8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240</Words>
  <Characters>349</Characters>
  <Lines>0</Lines>
  <Paragraphs>0</Paragraphs>
  <TotalTime>0</TotalTime>
  <ScaleCrop>false</ScaleCrop>
  <LinksUpToDate>false</LinksUpToDate>
  <CharactersWithSpaces>421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2025-11-04T17:32:00Z</dcterms:created>
  <dc:creator>Mark~</dc:creator>
  <cp:lastModifiedBy>Mark~</cp:lastModifiedBy>
  <dcterms:modified xsi:type="dcterms:W3CDTF">2026-09-23T09:26:15Z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455ECF363D5A4163BD22DC28AACB73A5_11</vt:lpwstr>
  </property>
  <property fmtid="{D5CDD505-2E9C-101B-9397-08002B2CF9AE}" pid="4" name="KSOTemplateDocerSaveRecord">
    <vt:lpwstr>eyJoZGlkIjoiYTgxNWZkNjk5YjUwNGU2YjYzYzlmNTlhMTg5ZGE1ODgiLCJ1c2VySWQiOiIxNjMyNTg4NyJ9</vt:lpwstr>
  </property>
</Properties>
</file>