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4C53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 w:hAnsi="仿宋" w:eastAsia="仿宋" w:cs="仿宋"/>
          <w:bCs/>
          <w:sz w:val="32"/>
          <w:szCs w:val="32"/>
          <w:highlight w:val="none"/>
        </w:rPr>
      </w:pPr>
      <w:r>
        <w:rPr>
          <w:rFonts w:hint="eastAsia" w:ascii="方正小标宋_GBK" w:eastAsia="方正小标宋_GBK" w:hAnsiTheme="majorEastAsia" w:cstheme="majorEastAsia"/>
          <w:bCs/>
          <w:sz w:val="44"/>
          <w:szCs w:val="44"/>
        </w:rPr>
        <w:t>关于</w:t>
      </w:r>
      <w:r>
        <w:rPr>
          <w:rFonts w:hint="eastAsia" w:ascii="方正小标宋_GBK" w:hAnsi="方正小标宋_GBK" w:eastAsia="方正小标宋_GBK" w:cs="方正小标宋_GBK"/>
          <w:sz w:val="44"/>
          <w:szCs w:val="44"/>
        </w:rPr>
        <w:t>山西</w:t>
      </w:r>
      <w:r>
        <w:rPr>
          <w:rFonts w:hint="eastAsia" w:ascii="方正小标宋_GBK" w:hAnsi="方正小标宋_GBK" w:eastAsia="方正小标宋_GBK" w:cs="方正小标宋_GBK"/>
          <w:sz w:val="44"/>
          <w:szCs w:val="44"/>
          <w:lang w:val="en-US" w:eastAsia="zh-CN"/>
        </w:rPr>
        <w:t>吕梁</w:t>
      </w:r>
      <w:r>
        <w:rPr>
          <w:rFonts w:hint="eastAsia" w:ascii="方正小标宋_GBK" w:hAnsi="方正小标宋_GBK" w:eastAsia="方正小标宋_GBK" w:cs="方正小标宋_GBK"/>
          <w:sz w:val="44"/>
          <w:szCs w:val="44"/>
        </w:rPr>
        <w:t>岚县500</w:t>
      </w:r>
      <w:r>
        <w:rPr>
          <w:rFonts w:hint="eastAsia" w:ascii="方正小标宋_GBK" w:hAnsi="方正小标宋_GBK" w:eastAsia="方正小标宋_GBK" w:cs="方正小标宋_GBK"/>
          <w:sz w:val="44"/>
          <w:szCs w:val="44"/>
          <w:lang w:val="en-US" w:eastAsia="zh-CN"/>
        </w:rPr>
        <w:t>千伏</w:t>
      </w:r>
      <w:r>
        <w:rPr>
          <w:rFonts w:hint="eastAsia" w:ascii="方正小标宋_GBK" w:hAnsi="方正小标宋_GBK" w:eastAsia="方正小标宋_GBK" w:cs="方正小标宋_GBK"/>
          <w:sz w:val="44"/>
          <w:szCs w:val="44"/>
        </w:rPr>
        <w:t>新能源汇集站输变电工程</w:t>
      </w:r>
      <w:r>
        <w:rPr>
          <w:rFonts w:hint="eastAsia" w:ascii="方正小标宋_GBK" w:eastAsia="方正小标宋_GBK" w:hAnsiTheme="majorEastAsia" w:cstheme="majorEastAsia"/>
          <w:bCs/>
          <w:sz w:val="44"/>
          <w:szCs w:val="44"/>
        </w:rPr>
        <w:t>征地补偿安置方案公告</w:t>
      </w:r>
    </w:p>
    <w:p w14:paraId="1CB3C9A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仿宋"/>
          <w:bCs/>
          <w:sz w:val="32"/>
          <w:szCs w:val="32"/>
          <w:highlight w:val="none"/>
        </w:rPr>
        <w:t>岚政征（公）字</w:t>
      </w:r>
      <w:r>
        <w:rPr>
          <w:rFonts w:hint="eastAsia" w:ascii="宋体" w:hAnsi="宋体" w:eastAsia="宋体" w:cs="宋体"/>
          <w:bCs/>
          <w:sz w:val="32"/>
          <w:szCs w:val="32"/>
          <w:highlight w:val="none"/>
        </w:rPr>
        <w:t>〔202</w:t>
      </w:r>
      <w:r>
        <w:rPr>
          <w:rFonts w:hint="eastAsia" w:ascii="宋体" w:hAnsi="宋体" w:eastAsia="宋体" w:cs="宋体"/>
          <w:bCs/>
          <w:sz w:val="32"/>
          <w:szCs w:val="32"/>
          <w:highlight w:val="none"/>
          <w:lang w:val="en-US" w:eastAsia="zh-CN"/>
        </w:rPr>
        <w:t>6</w:t>
      </w:r>
      <w:r>
        <w:rPr>
          <w:rFonts w:hint="eastAsia" w:ascii="宋体" w:hAnsi="宋体" w:eastAsia="宋体" w:cs="宋体"/>
          <w:bCs/>
          <w:sz w:val="32"/>
          <w:szCs w:val="32"/>
          <w:highlight w:val="none"/>
        </w:rPr>
        <w:t>〕</w:t>
      </w:r>
      <w:r>
        <w:rPr>
          <w:rFonts w:hint="eastAsia" w:ascii="宋体" w:hAnsi="宋体" w:eastAsia="宋体" w:cs="宋体"/>
          <w:bCs/>
          <w:sz w:val="32"/>
          <w:szCs w:val="32"/>
          <w:highlight w:val="none"/>
          <w:lang w:val="en-US" w:eastAsia="zh-CN"/>
        </w:rPr>
        <w:t>5</w:t>
      </w:r>
      <w:r>
        <w:rPr>
          <w:rFonts w:hint="eastAsia" w:ascii="仿宋" w:hAnsi="仿宋" w:eastAsia="仿宋" w:cs="仿宋"/>
          <w:bCs/>
          <w:sz w:val="32"/>
          <w:szCs w:val="32"/>
          <w:highlight w:val="none"/>
        </w:rPr>
        <w:t>号</w:t>
      </w:r>
      <w:bookmarkStart w:id="0" w:name="_GoBack"/>
      <w:bookmarkEnd w:id="0"/>
    </w:p>
    <w:p w14:paraId="3331744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根据《中华人民共和国土地管理法》,为了岚县城市发展和公共利益需要,岚县人民政府于202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14:textFill>
            <w14:solidFill>
              <w14:schemeClr w14:val="tx1"/>
            </w14:solidFill>
          </w14:textFill>
        </w:rPr>
        <w:t>日发布了征收土地启动预公告,经土地现状调查、社会稳定风险评估,岚县人民政府决定,</w:t>
      </w:r>
      <w:r>
        <w:rPr>
          <w:rFonts w:hint="eastAsia" w:ascii="仿宋_GB2312" w:hAnsi="仿宋_GB2312" w:eastAsia="仿宋_GB2312" w:cs="仿宋_GB2312"/>
          <w:color w:val="auto"/>
          <w:sz w:val="32"/>
          <w:szCs w:val="32"/>
        </w:rPr>
        <w:t>拟征收普明镇普明村集体土地</w:t>
      </w:r>
      <w:r>
        <w:rPr>
          <w:rFonts w:hint="eastAsia" w:ascii="仿宋_GB2312" w:hAnsi="仿宋_GB2312" w:eastAsia="仿宋_GB2312" w:cs="仿宋_GB2312"/>
          <w:color w:val="auto"/>
          <w:sz w:val="32"/>
          <w:szCs w:val="32"/>
          <w:lang w:eastAsia="zh-CN"/>
        </w:rPr>
        <w:t>共计</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lang w:val="en-US" w:eastAsia="zh-CN"/>
        </w:rPr>
        <w:t>0767</w:t>
      </w:r>
      <w:r>
        <w:rPr>
          <w:rFonts w:hint="eastAsia" w:ascii="仿宋_GB2312" w:hAnsi="仿宋_GB2312" w:eastAsia="仿宋_GB2312" w:cs="仿宋_GB2312"/>
          <w:color w:val="auto"/>
          <w:sz w:val="32"/>
          <w:szCs w:val="32"/>
        </w:rPr>
        <w:t>公顷(约</w:t>
      </w:r>
      <w:r>
        <w:rPr>
          <w:rFonts w:hint="eastAsia" w:ascii="仿宋_GB2312" w:hAnsi="仿宋_GB2312" w:eastAsia="仿宋_GB2312" w:cs="仿宋_GB2312"/>
          <w:color w:val="auto"/>
          <w:sz w:val="32"/>
          <w:szCs w:val="32"/>
          <w:lang w:val="en-US" w:eastAsia="zh-CN"/>
        </w:rPr>
        <w:t>1.1505</w:t>
      </w:r>
      <w:r>
        <w:rPr>
          <w:rFonts w:hint="eastAsia" w:ascii="仿宋_GB2312" w:hAnsi="仿宋_GB2312" w:eastAsia="仿宋_GB2312" w:cs="仿宋_GB2312"/>
          <w:color w:val="auto"/>
          <w:sz w:val="32"/>
          <w:szCs w:val="32"/>
        </w:rPr>
        <w:t>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小万</w:t>
      </w:r>
      <w:r>
        <w:rPr>
          <w:rFonts w:hint="eastAsia" w:ascii="仿宋_GB2312" w:hAnsi="仿宋_GB2312" w:eastAsia="仿宋_GB2312" w:cs="仿宋_GB2312"/>
          <w:color w:val="auto"/>
          <w:sz w:val="32"/>
          <w:szCs w:val="32"/>
        </w:rPr>
        <w:t>村集体土地</w:t>
      </w:r>
      <w:r>
        <w:rPr>
          <w:rFonts w:hint="eastAsia" w:ascii="仿宋_GB2312" w:hAnsi="仿宋_GB2312" w:eastAsia="仿宋_GB2312" w:cs="仿宋_GB2312"/>
          <w:color w:val="auto"/>
          <w:sz w:val="32"/>
          <w:szCs w:val="32"/>
          <w:lang w:eastAsia="zh-CN"/>
        </w:rPr>
        <w:t>共计</w:t>
      </w:r>
      <w:r>
        <w:rPr>
          <w:rFonts w:hint="eastAsia" w:ascii="仿宋_GB2312" w:hAnsi="仿宋_GB2312" w:eastAsia="仿宋_GB2312" w:cs="仿宋_GB2312"/>
          <w:color w:val="auto"/>
          <w:sz w:val="32"/>
          <w:szCs w:val="32"/>
          <w:lang w:val="en-US" w:eastAsia="zh-CN"/>
        </w:rPr>
        <w:t>6.0779</w:t>
      </w:r>
      <w:r>
        <w:rPr>
          <w:rFonts w:hint="eastAsia" w:ascii="仿宋_GB2312" w:hAnsi="仿宋_GB2312" w:eastAsia="仿宋_GB2312" w:cs="仿宋_GB2312"/>
          <w:color w:val="auto"/>
          <w:sz w:val="32"/>
          <w:szCs w:val="32"/>
        </w:rPr>
        <w:t>公顷(约</w:t>
      </w:r>
      <w:r>
        <w:rPr>
          <w:rFonts w:hint="eastAsia" w:ascii="仿宋_GB2312" w:hAnsi="仿宋_GB2312" w:eastAsia="仿宋_GB2312" w:cs="仿宋_GB2312"/>
          <w:color w:val="auto"/>
          <w:sz w:val="32"/>
          <w:szCs w:val="32"/>
          <w:lang w:val="en-US" w:eastAsia="zh-CN"/>
        </w:rPr>
        <w:t>91.1685</w:t>
      </w:r>
      <w:r>
        <w:rPr>
          <w:rFonts w:hint="eastAsia" w:ascii="仿宋_GB2312" w:hAnsi="仿宋_GB2312" w:eastAsia="仿宋_GB2312" w:cs="仿宋_GB2312"/>
          <w:color w:val="auto"/>
          <w:sz w:val="32"/>
          <w:szCs w:val="32"/>
        </w:rPr>
        <w:t>亩)</w:t>
      </w:r>
      <w:r>
        <w:rPr>
          <w:rFonts w:hint="eastAsia" w:ascii="仿宋_GB2312" w:hAnsi="仿宋_GB2312" w:eastAsia="仿宋_GB2312" w:cs="仿宋_GB2312"/>
          <w:color w:val="000000" w:themeColor="text1"/>
          <w:sz w:val="32"/>
          <w:szCs w:val="32"/>
          <w14:textFill>
            <w14:solidFill>
              <w14:schemeClr w14:val="tx1"/>
            </w14:solidFill>
          </w14:textFill>
        </w:rPr>
        <w:t>，并组织自然资源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、财政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、人力资源和社会保障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、农业农村局、现代农业发展服务中心、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普明镇</w:t>
      </w:r>
      <w:r>
        <w:rPr>
          <w:rFonts w:hint="eastAsia" w:ascii="仿宋_GB2312" w:hAnsi="仿宋_GB2312" w:eastAsia="仿宋_GB2312" w:cs="仿宋_GB2312"/>
          <w:color w:val="000000" w:themeColor="text1"/>
          <w:sz w:val="32"/>
          <w:szCs w:val="32"/>
          <w14:textFill>
            <w14:solidFill>
              <w14:schemeClr w14:val="tx1"/>
            </w14:solidFill>
          </w14:textFill>
        </w:rPr>
        <w:t>政府等部门编制了征地补偿安置方案,现公告如下:</w:t>
      </w:r>
    </w:p>
    <w:p w14:paraId="092031C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一、被征地乡镇</w:t>
      </w:r>
      <w:r>
        <w:rPr>
          <w:rFonts w:hint="eastAsia" w:ascii="黑体" w:hAnsi="黑体" w:eastAsia="黑体" w:cs="黑体"/>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岚县</w:t>
      </w:r>
      <w:r>
        <w:rPr>
          <w:rFonts w:hint="eastAsia" w:ascii="仿宋_GB2312" w:hAnsi="仿宋_GB2312" w:eastAsia="仿宋_GB2312" w:cs="仿宋_GB2312"/>
          <w:sz w:val="32"/>
          <w:szCs w:val="32"/>
          <w:lang w:val="en-US" w:eastAsia="zh-CN"/>
        </w:rPr>
        <w:t>普明镇</w:t>
      </w:r>
      <w:r>
        <w:rPr>
          <w:rFonts w:hint="eastAsia" w:ascii="仿宋_GB2312" w:hAnsi="仿宋_GB2312" w:eastAsia="仿宋_GB2312" w:cs="仿宋_GB2312"/>
          <w:sz w:val="32"/>
          <w:szCs w:val="32"/>
        </w:rPr>
        <w:t>。</w:t>
      </w:r>
    </w:p>
    <w:p w14:paraId="17243207">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二、被征地村民委员会</w:t>
      </w:r>
      <w:r>
        <w:rPr>
          <w:rFonts w:hint="eastAsia" w:ascii="黑体" w:hAnsi="黑体" w:eastAsia="黑体" w:cs="黑体"/>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普明村村民委员会、小万村村民委员会</w:t>
      </w:r>
      <w:r>
        <w:rPr>
          <w:rFonts w:hint="eastAsia" w:ascii="仿宋_GB2312" w:hAnsi="仿宋_GB2312" w:eastAsia="仿宋_GB2312" w:cs="仿宋_GB2312"/>
          <w:sz w:val="32"/>
          <w:szCs w:val="32"/>
        </w:rPr>
        <w:t>。</w:t>
      </w:r>
    </w:p>
    <w:p w14:paraId="0396D7A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三、权属状况</w:t>
      </w:r>
      <w:r>
        <w:rPr>
          <w:rFonts w:hint="eastAsia" w:ascii="黑体" w:hAnsi="黑体" w:eastAsia="黑体" w:cs="黑体"/>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普明村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小万村</w:t>
      </w:r>
      <w:r>
        <w:rPr>
          <w:rFonts w:hint="eastAsia" w:ascii="仿宋_GB2312" w:hAnsi="仿宋_GB2312" w:eastAsia="仿宋_GB2312" w:cs="仿宋_GB2312"/>
          <w:sz w:val="32"/>
          <w:szCs w:val="32"/>
        </w:rPr>
        <w:t>集体所有</w:t>
      </w:r>
      <w:r>
        <w:rPr>
          <w:rFonts w:hint="eastAsia" w:ascii="仿宋_GB2312" w:hAnsi="仿宋_GB2312" w:eastAsia="仿宋_GB2312" w:cs="仿宋_GB2312"/>
          <w:color w:val="000000" w:themeColor="text1"/>
          <w:sz w:val="32"/>
          <w:szCs w:val="32"/>
          <w14:textFill>
            <w14:solidFill>
              <w14:schemeClr w14:val="tx1"/>
            </w14:solidFill>
          </w14:textFill>
        </w:rPr>
        <w:t>。</w:t>
      </w:r>
    </w:p>
    <w:p w14:paraId="5FE336F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_GB2312" w:cs="仿宋"/>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四、征收范围:</w:t>
      </w:r>
      <w:r>
        <w:rPr>
          <w:rFonts w:hint="eastAsia" w:ascii="仿宋_GB2312" w:hAnsi="仿宋_GB2312" w:eastAsia="仿宋_GB2312" w:cs="仿宋_GB2312"/>
          <w:color w:val="auto"/>
          <w:sz w:val="32"/>
          <w:szCs w:val="32"/>
        </w:rPr>
        <w:t>拟征收普明镇普明村集体土地0.</w:t>
      </w:r>
      <w:r>
        <w:rPr>
          <w:rFonts w:hint="eastAsia" w:ascii="仿宋_GB2312" w:hAnsi="仿宋_GB2312" w:eastAsia="仿宋_GB2312" w:cs="仿宋_GB2312"/>
          <w:color w:val="auto"/>
          <w:sz w:val="32"/>
          <w:szCs w:val="32"/>
          <w:lang w:val="en-US" w:eastAsia="zh-CN"/>
        </w:rPr>
        <w:t>0767</w:t>
      </w:r>
      <w:r>
        <w:rPr>
          <w:rFonts w:hint="eastAsia" w:ascii="仿宋_GB2312" w:hAnsi="仿宋_GB2312" w:eastAsia="仿宋_GB2312" w:cs="仿宋_GB2312"/>
          <w:color w:val="auto"/>
          <w:sz w:val="32"/>
          <w:szCs w:val="32"/>
        </w:rPr>
        <w:t>公顷(约</w:t>
      </w:r>
      <w:r>
        <w:rPr>
          <w:rFonts w:hint="eastAsia" w:ascii="仿宋_GB2312" w:hAnsi="仿宋_GB2312" w:eastAsia="仿宋_GB2312" w:cs="仿宋_GB2312"/>
          <w:color w:val="auto"/>
          <w:sz w:val="32"/>
          <w:szCs w:val="32"/>
          <w:lang w:val="en-US" w:eastAsia="zh-CN"/>
        </w:rPr>
        <w:t>1.1505</w:t>
      </w:r>
      <w:r>
        <w:rPr>
          <w:rFonts w:hint="eastAsia" w:ascii="仿宋_GB2312" w:hAnsi="仿宋_GB2312" w:eastAsia="仿宋_GB2312" w:cs="仿宋_GB2312"/>
          <w:color w:val="auto"/>
          <w:sz w:val="32"/>
          <w:szCs w:val="32"/>
        </w:rPr>
        <w:t>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小万</w:t>
      </w:r>
      <w:r>
        <w:rPr>
          <w:rFonts w:hint="eastAsia" w:ascii="仿宋_GB2312" w:hAnsi="仿宋_GB2312" w:eastAsia="仿宋_GB2312" w:cs="仿宋_GB2312"/>
          <w:color w:val="auto"/>
          <w:sz w:val="32"/>
          <w:szCs w:val="32"/>
        </w:rPr>
        <w:t>村集体土地</w:t>
      </w:r>
      <w:r>
        <w:rPr>
          <w:rFonts w:hint="eastAsia" w:ascii="仿宋_GB2312" w:hAnsi="仿宋_GB2312" w:eastAsia="仿宋_GB2312" w:cs="仿宋_GB2312"/>
          <w:color w:val="auto"/>
          <w:sz w:val="32"/>
          <w:szCs w:val="32"/>
          <w:lang w:val="en-US" w:eastAsia="zh-CN"/>
        </w:rPr>
        <w:t>6.0779</w:t>
      </w:r>
      <w:r>
        <w:rPr>
          <w:rFonts w:hint="eastAsia" w:ascii="仿宋_GB2312" w:hAnsi="仿宋_GB2312" w:eastAsia="仿宋_GB2312" w:cs="仿宋_GB2312"/>
          <w:color w:val="auto"/>
          <w:sz w:val="32"/>
          <w:szCs w:val="32"/>
        </w:rPr>
        <w:t>公顷(约</w:t>
      </w:r>
      <w:r>
        <w:rPr>
          <w:rFonts w:hint="eastAsia" w:ascii="仿宋_GB2312" w:hAnsi="仿宋_GB2312" w:eastAsia="仿宋_GB2312" w:cs="仿宋_GB2312"/>
          <w:color w:val="auto"/>
          <w:sz w:val="32"/>
          <w:szCs w:val="32"/>
          <w:lang w:val="en-US" w:eastAsia="zh-CN"/>
        </w:rPr>
        <w:t>91.1685</w:t>
      </w:r>
      <w:r>
        <w:rPr>
          <w:rFonts w:hint="eastAsia" w:ascii="仿宋_GB2312" w:hAnsi="仿宋_GB2312" w:eastAsia="仿宋_GB2312" w:cs="仿宋_GB2312"/>
          <w:color w:val="auto"/>
          <w:sz w:val="32"/>
          <w:szCs w:val="32"/>
        </w:rPr>
        <w:t>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3A4D35D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五、土地调查现状</w:t>
      </w:r>
      <w:r>
        <w:rPr>
          <w:rFonts w:hint="eastAsia" w:ascii="黑体" w:hAnsi="黑体" w:eastAsia="黑体" w:cs="黑体"/>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bCs/>
          <w:sz w:val="32"/>
          <w:szCs w:val="32"/>
        </w:rPr>
        <w:t>拟征地调查结果与数据库地类情况</w:t>
      </w:r>
      <w:r>
        <w:rPr>
          <w:rFonts w:hint="eastAsia" w:ascii="仿宋_GB2312" w:hAnsi="仿宋_GB2312" w:eastAsia="仿宋_GB2312" w:cs="仿宋_GB2312"/>
          <w:sz w:val="32"/>
          <w:szCs w:val="32"/>
        </w:rPr>
        <w:t>一致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权属情况不一致</w:t>
      </w:r>
      <w:r>
        <w:rPr>
          <w:rFonts w:hint="eastAsia" w:ascii="仿宋_GB2312" w:hAnsi="仿宋_GB2312" w:eastAsia="仿宋_GB2312" w:cs="仿宋_GB2312"/>
          <w:color w:val="000000" w:themeColor="text1"/>
          <w:sz w:val="32"/>
          <w:szCs w:val="32"/>
          <w14:textFill>
            <w14:solidFill>
              <w14:schemeClr w14:val="tx1"/>
            </w14:solidFill>
          </w14:textFill>
        </w:rPr>
        <w:t>。</w:t>
      </w:r>
    </w:p>
    <w:p w14:paraId="074F112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六、征收目的</w:t>
      </w:r>
      <w:r>
        <w:rPr>
          <w:rFonts w:hint="eastAsia" w:ascii="黑体" w:hAnsi="黑体" w:eastAsia="黑体" w:cs="黑体"/>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为了公共利益的需要征收土地。</w:t>
      </w:r>
    </w:p>
    <w:p w14:paraId="4B84968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sz w:val="32"/>
          <w:szCs w:val="32"/>
        </w:rPr>
        <w:t>七、补偿标准金额</w:t>
      </w:r>
      <w:r>
        <w:rPr>
          <w:rFonts w:hint="eastAsia" w:ascii="黑体" w:hAnsi="黑体" w:eastAsia="黑体" w:cs="黑体"/>
          <w:sz w:val="32"/>
          <w:szCs w:val="32"/>
        </w:rPr>
        <w:t>:</w:t>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山西省人民政府关于重新公布全省征地地区片综合地价的通知</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晋政函</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《岚县人民政府关于印发岚县经济开发区管理委员会项目建设征收地块补偿的实施意见的通知》(岚政发〔2021〕16号)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的补偿标准执行</w:t>
      </w:r>
      <w:r>
        <w:rPr>
          <w:rFonts w:hint="eastAsia" w:ascii="仿宋_GB2312" w:hAnsi="仿宋_GB2312" w:eastAsia="仿宋_GB2312" w:cs="仿宋_GB2312"/>
          <w:color w:val="000000" w:themeColor="text1"/>
          <w:sz w:val="32"/>
          <w:szCs w:val="32"/>
          <w14:textFill>
            <w14:solidFill>
              <w14:schemeClr w14:val="tx1"/>
            </w14:solidFill>
          </w14:textFill>
        </w:rPr>
        <w:t>，我县普明镇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普明</w:t>
      </w:r>
      <w:r>
        <w:rPr>
          <w:rFonts w:hint="eastAsia" w:ascii="仿宋_GB2312" w:hAnsi="仿宋_GB2312" w:eastAsia="仿宋_GB2312" w:cs="仿宋_GB2312"/>
          <w:color w:val="000000" w:themeColor="text1"/>
          <w:sz w:val="32"/>
          <w:szCs w:val="32"/>
          <w14:textFill>
            <w14:solidFill>
              <w14:schemeClr w14:val="tx1"/>
            </w14:solidFill>
          </w14:textFill>
        </w:rPr>
        <w:t>村</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小万村</w:t>
      </w:r>
      <w:r>
        <w:rPr>
          <w:rFonts w:hint="eastAsia" w:ascii="仿宋_GB2312" w:hAnsi="仿宋_GB2312" w:eastAsia="仿宋_GB2312" w:cs="仿宋_GB2312"/>
          <w:color w:val="000000" w:themeColor="text1"/>
          <w:sz w:val="32"/>
          <w:szCs w:val="32"/>
          <w14:textFill>
            <w14:solidFill>
              <w14:schemeClr w14:val="tx1"/>
            </w14:solidFill>
          </w14:textFill>
        </w:rPr>
        <w:t>属(IV)城市规划发展区，补偿标准为:(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耕地</w:t>
      </w:r>
      <w:r>
        <w:rPr>
          <w:rFonts w:hint="eastAsia" w:ascii="仿宋_GB2312" w:hAnsi="仿宋_GB2312" w:eastAsia="仿宋_GB2312" w:cs="仿宋_GB2312"/>
          <w:color w:val="000000" w:themeColor="text1"/>
          <w:sz w:val="32"/>
          <w:szCs w:val="32"/>
          <w14:textFill>
            <w14:solidFill>
              <w14:schemeClr w14:val="tx1"/>
            </w14:solidFill>
          </w14:textFill>
        </w:rPr>
        <w:t>3.6150万元/亩</w:t>
      </w:r>
      <w:r>
        <w:rPr>
          <w:rFonts w:hint="eastAsia" w:ascii="仿宋_GB2312" w:hAnsi="仿宋_GB2312" w:eastAsia="仿宋_GB2312" w:cs="仿宋_GB2312"/>
          <w:color w:val="000000" w:themeColor="text1"/>
          <w:sz w:val="32"/>
          <w:szCs w:val="32"/>
          <w:lang w:eastAsia="zh-CN"/>
          <w14:textFill>
            <w14:solidFill>
              <w14:schemeClr w14:val="tx1"/>
            </w14:solidFill>
          </w14:textFill>
        </w:rPr>
        <w:t>、其他土地（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田坎</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3.6150万元/亩);如征收期内有新的补偿标准发布,按新标准执行。</w:t>
      </w:r>
    </w:p>
    <w:p w14:paraId="65627C22">
      <w:pPr>
        <w:keepNext w:val="0"/>
        <w:keepLines w:val="0"/>
        <w:widowControl/>
        <w:suppressLineNumbers w:val="0"/>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征地区片综合地价由土地补偿费和安置补助费两部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w:t>
      </w:r>
      <w:r>
        <w:rPr>
          <w:rFonts w:hint="eastAsia" w:ascii="仿宋_GB2312" w:hAnsi="仿宋_GB2312" w:eastAsia="仿宋_GB2312" w:cs="仿宋_GB2312"/>
          <w:color w:val="000000" w:themeColor="text1"/>
          <w:sz w:val="32"/>
          <w:szCs w:val="32"/>
          <w14:textFill>
            <w14:solidFill>
              <w14:schemeClr w14:val="tx1"/>
            </w14:solidFill>
          </w14:textFill>
        </w:rPr>
        <w:t>组成，其中土地补偿费占40%，安置补助费占60%。上述宗地各地类补偿安置情况如下表:</w:t>
      </w:r>
    </w:p>
    <w:tbl>
      <w:tblPr>
        <w:tblStyle w:val="6"/>
        <w:tblpPr w:leftFromText="180" w:rightFromText="180" w:vertAnchor="page" w:horzAnchor="page" w:tblpX="1778" w:tblpY="6780"/>
        <w:tblW w:w="8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5"/>
        <w:gridCol w:w="798"/>
        <w:gridCol w:w="912"/>
        <w:gridCol w:w="980"/>
        <w:gridCol w:w="922"/>
        <w:gridCol w:w="950"/>
        <w:gridCol w:w="949"/>
        <w:gridCol w:w="875"/>
        <w:gridCol w:w="990"/>
      </w:tblGrid>
      <w:tr w14:paraId="0DD9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7" w:hRule="exact"/>
          <w:jc w:val="center"/>
        </w:trPr>
        <w:tc>
          <w:tcPr>
            <w:tcW w:w="975" w:type="dxa"/>
            <w:vMerge w:val="restart"/>
            <w:vAlign w:val="center"/>
          </w:tcPr>
          <w:p w14:paraId="4DE24512">
            <w:pPr>
              <w:pStyle w:val="10"/>
              <w:spacing w:line="305" w:lineRule="atLeast"/>
              <w:jc w:val="center"/>
              <w:textAlignment w:val="center"/>
              <w:rPr>
                <w:rFonts w:hint="eastAsia" w:ascii="仿宋_GB2312" w:hAnsi="仿宋_GB2312" w:eastAsia="仿宋_GB2312" w:cs="仿宋_GB2312"/>
                <w:bCs/>
                <w:color w:val="000000" w:themeColor="text1"/>
                <w:sz w:val="18"/>
                <w:szCs w:val="32"/>
                <w:highlight w:val="none"/>
                <w14:textFill>
                  <w14:solidFill>
                    <w14:schemeClr w14:val="tx1"/>
                  </w14:solidFill>
                </w14:textFill>
              </w:rPr>
            </w:pPr>
            <w:r>
              <w:rPr>
                <w:rFonts w:hint="eastAsia" w:ascii="宋体" w:hAnsi="宋体" w:cs="宋体"/>
                <w:sz w:val="20"/>
                <w:szCs w:val="20"/>
              </w:rPr>
              <w:t>综合地价区域</w:t>
            </w:r>
          </w:p>
        </w:tc>
        <w:tc>
          <w:tcPr>
            <w:tcW w:w="798" w:type="dxa"/>
            <w:vMerge w:val="restart"/>
            <w:vAlign w:val="center"/>
          </w:tcPr>
          <w:p w14:paraId="7E5A77BC">
            <w:pPr>
              <w:pStyle w:val="10"/>
              <w:spacing w:line="305" w:lineRule="atLeast"/>
              <w:jc w:val="center"/>
              <w:textAlignment w:val="center"/>
              <w:rPr>
                <w:rFonts w:hint="eastAsia" w:ascii="仿宋_GB2312" w:hAnsi="仿宋_GB2312" w:eastAsia="仿宋_GB2312" w:cs="仿宋_GB2312"/>
                <w:sz w:val="22"/>
                <w:szCs w:val="22"/>
                <w:highlight w:val="none"/>
              </w:rPr>
            </w:pPr>
            <w:r>
              <w:rPr>
                <w:rFonts w:hint="eastAsia" w:ascii="宋体" w:hAnsi="宋体" w:cs="宋体"/>
                <w:sz w:val="20"/>
                <w:szCs w:val="20"/>
              </w:rPr>
              <w:t>地类名称</w:t>
            </w:r>
          </w:p>
        </w:tc>
        <w:tc>
          <w:tcPr>
            <w:tcW w:w="912" w:type="dxa"/>
            <w:vMerge w:val="restart"/>
            <w:vAlign w:val="center"/>
          </w:tcPr>
          <w:p w14:paraId="4706F242">
            <w:pPr>
              <w:pStyle w:val="10"/>
              <w:spacing w:line="305" w:lineRule="atLeast"/>
              <w:jc w:val="center"/>
              <w:textAlignment w:val="center"/>
              <w:rPr>
                <w:rFonts w:hint="eastAsia" w:ascii="宋体" w:hAnsi="宋体" w:cs="宋体"/>
                <w:sz w:val="20"/>
                <w:szCs w:val="20"/>
              </w:rPr>
            </w:pPr>
            <w:r>
              <w:rPr>
                <w:rFonts w:hint="eastAsia" w:ascii="宋体" w:hAnsi="宋体" w:cs="宋体"/>
                <w:sz w:val="20"/>
                <w:szCs w:val="20"/>
              </w:rPr>
              <w:t>面积</w:t>
            </w:r>
          </w:p>
          <w:p w14:paraId="43534449">
            <w:pPr>
              <w:pStyle w:val="10"/>
              <w:spacing w:line="305" w:lineRule="atLeast"/>
              <w:jc w:val="center"/>
              <w:textAlignment w:val="center"/>
              <w:rPr>
                <w:rFonts w:hint="eastAsia" w:ascii="仿宋_GB2312" w:hAnsi="仿宋_GB2312" w:eastAsia="仿宋_GB2312" w:cs="仿宋_GB2312"/>
                <w:sz w:val="22"/>
                <w:szCs w:val="22"/>
                <w:highlight w:val="none"/>
              </w:rPr>
            </w:pPr>
            <w:r>
              <w:rPr>
                <w:rFonts w:hint="eastAsia" w:ascii="宋体" w:hAnsi="宋体" w:cs="宋体"/>
                <w:sz w:val="20"/>
                <w:szCs w:val="20"/>
              </w:rPr>
              <w:t>（公顷）</w:t>
            </w:r>
          </w:p>
        </w:tc>
        <w:tc>
          <w:tcPr>
            <w:tcW w:w="980" w:type="dxa"/>
            <w:vMerge w:val="restart"/>
            <w:vAlign w:val="center"/>
          </w:tcPr>
          <w:p w14:paraId="543A1EE7">
            <w:pPr>
              <w:pStyle w:val="10"/>
              <w:spacing w:line="305" w:lineRule="atLeast"/>
              <w:jc w:val="center"/>
              <w:textAlignment w:val="center"/>
              <w:rPr>
                <w:rFonts w:hint="eastAsia" w:ascii="仿宋_GB2312" w:hAnsi="仿宋_GB2312" w:eastAsia="仿宋_GB2312" w:cs="仿宋_GB2312"/>
                <w:sz w:val="22"/>
                <w:szCs w:val="22"/>
                <w:highlight w:val="none"/>
              </w:rPr>
            </w:pPr>
            <w:r>
              <w:rPr>
                <w:rFonts w:hint="eastAsia" w:ascii="宋体" w:hAnsi="宋体" w:cs="宋体"/>
                <w:sz w:val="20"/>
                <w:szCs w:val="20"/>
              </w:rPr>
              <w:t>综合地价标准（万元/公顷）</w:t>
            </w:r>
          </w:p>
        </w:tc>
        <w:tc>
          <w:tcPr>
            <w:tcW w:w="1872" w:type="dxa"/>
            <w:gridSpan w:val="2"/>
            <w:vAlign w:val="center"/>
          </w:tcPr>
          <w:p w14:paraId="0DDE107B">
            <w:pPr>
              <w:pStyle w:val="10"/>
              <w:spacing w:line="305" w:lineRule="atLeast"/>
              <w:jc w:val="center"/>
              <w:textAlignment w:val="center"/>
              <w:rPr>
                <w:rFonts w:hint="eastAsia" w:ascii="宋体" w:hAnsi="宋体" w:cs="宋体"/>
                <w:sz w:val="20"/>
                <w:szCs w:val="20"/>
              </w:rPr>
            </w:pPr>
            <w:r>
              <w:rPr>
                <w:rFonts w:hint="eastAsia" w:ascii="宋体" w:hAnsi="宋体" w:cs="宋体"/>
                <w:sz w:val="20"/>
                <w:szCs w:val="20"/>
              </w:rPr>
              <w:t>土地补偿费（万元)</w:t>
            </w:r>
          </w:p>
          <w:p w14:paraId="5277F9E3">
            <w:pPr>
              <w:pStyle w:val="10"/>
              <w:spacing w:line="305" w:lineRule="atLeast"/>
              <w:jc w:val="center"/>
              <w:textAlignment w:val="center"/>
              <w:rPr>
                <w:rFonts w:hint="eastAsia" w:ascii="仿宋_GB2312" w:hAnsi="仿宋_GB2312" w:eastAsia="仿宋_GB2312" w:cs="仿宋_GB2312"/>
                <w:sz w:val="22"/>
                <w:szCs w:val="22"/>
                <w:highlight w:val="none"/>
              </w:rPr>
            </w:pPr>
            <w:r>
              <w:rPr>
                <w:rFonts w:hint="eastAsia" w:ascii="宋体" w:hAnsi="宋体" w:cs="宋体"/>
                <w:sz w:val="20"/>
                <w:szCs w:val="20"/>
              </w:rPr>
              <w:t>综合地价*40%</w:t>
            </w:r>
          </w:p>
        </w:tc>
        <w:tc>
          <w:tcPr>
            <w:tcW w:w="1824" w:type="dxa"/>
            <w:gridSpan w:val="2"/>
            <w:vAlign w:val="center"/>
          </w:tcPr>
          <w:p w14:paraId="10F6FF59">
            <w:pPr>
              <w:pStyle w:val="10"/>
              <w:spacing w:line="305" w:lineRule="atLeast"/>
              <w:jc w:val="center"/>
              <w:textAlignment w:val="center"/>
              <w:rPr>
                <w:rFonts w:hint="eastAsia" w:ascii="宋体" w:hAnsi="宋体" w:cs="宋体"/>
                <w:sz w:val="20"/>
                <w:szCs w:val="20"/>
              </w:rPr>
            </w:pPr>
            <w:r>
              <w:rPr>
                <w:rFonts w:hint="eastAsia" w:ascii="宋体" w:hAnsi="宋体" w:cs="宋体"/>
                <w:sz w:val="20"/>
                <w:szCs w:val="20"/>
              </w:rPr>
              <w:t>安置补助费（万元)</w:t>
            </w:r>
          </w:p>
          <w:p w14:paraId="5985C9EF">
            <w:pPr>
              <w:pStyle w:val="10"/>
              <w:spacing w:line="305" w:lineRule="atLeast"/>
              <w:jc w:val="center"/>
              <w:textAlignment w:val="center"/>
              <w:rPr>
                <w:rFonts w:hint="eastAsia" w:ascii="仿宋_GB2312" w:hAnsi="仿宋_GB2312" w:eastAsia="仿宋_GB2312" w:cs="仿宋_GB2312"/>
                <w:sz w:val="22"/>
                <w:szCs w:val="22"/>
                <w:highlight w:val="none"/>
              </w:rPr>
            </w:pPr>
            <w:r>
              <w:rPr>
                <w:rFonts w:hint="eastAsia" w:ascii="宋体" w:hAnsi="宋体" w:cs="宋体"/>
                <w:sz w:val="20"/>
                <w:szCs w:val="20"/>
              </w:rPr>
              <w:t>综合地价*60%</w:t>
            </w:r>
          </w:p>
        </w:tc>
        <w:tc>
          <w:tcPr>
            <w:tcW w:w="990" w:type="dxa"/>
            <w:vMerge w:val="restart"/>
            <w:vAlign w:val="center"/>
          </w:tcPr>
          <w:p w14:paraId="5CE61383">
            <w:pPr>
              <w:pStyle w:val="10"/>
              <w:spacing w:line="305" w:lineRule="atLeast"/>
              <w:jc w:val="center"/>
              <w:textAlignment w:val="center"/>
              <w:rPr>
                <w:rFonts w:hint="eastAsia" w:ascii="仿宋_GB2312" w:hAnsi="仿宋_GB2312" w:eastAsia="仿宋_GB2312" w:cs="仿宋_GB2312"/>
                <w:sz w:val="22"/>
                <w:szCs w:val="22"/>
                <w:highlight w:val="none"/>
              </w:rPr>
            </w:pPr>
            <w:r>
              <w:rPr>
                <w:rFonts w:hint="eastAsia" w:ascii="宋体" w:hAnsi="宋体" w:cs="宋体"/>
                <w:sz w:val="20"/>
                <w:szCs w:val="20"/>
              </w:rPr>
              <w:t>征地补偿总费用（万元)</w:t>
            </w:r>
          </w:p>
        </w:tc>
      </w:tr>
      <w:tr w14:paraId="567F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exact"/>
          <w:jc w:val="center"/>
        </w:trPr>
        <w:tc>
          <w:tcPr>
            <w:tcW w:w="975" w:type="dxa"/>
            <w:vMerge w:val="continue"/>
            <w:vAlign w:val="center"/>
          </w:tcPr>
          <w:p w14:paraId="18A748E6">
            <w:pPr>
              <w:pStyle w:val="10"/>
              <w:spacing w:line="305" w:lineRule="atLeast"/>
              <w:jc w:val="center"/>
              <w:textAlignment w:val="center"/>
              <w:rPr>
                <w:rFonts w:hint="eastAsia" w:ascii="仿宋_GB2312" w:hAnsi="仿宋_GB2312" w:eastAsia="仿宋_GB2312" w:cs="仿宋_GB2312"/>
                <w:bCs/>
                <w:color w:val="000000" w:themeColor="text1"/>
                <w:kern w:val="2"/>
                <w:sz w:val="18"/>
                <w:szCs w:val="32"/>
                <w:highlight w:val="none"/>
                <w14:textFill>
                  <w14:solidFill>
                    <w14:schemeClr w14:val="tx1"/>
                  </w14:solidFill>
                </w14:textFill>
              </w:rPr>
            </w:pPr>
          </w:p>
        </w:tc>
        <w:tc>
          <w:tcPr>
            <w:tcW w:w="798" w:type="dxa"/>
            <w:vMerge w:val="continue"/>
            <w:vAlign w:val="center"/>
          </w:tcPr>
          <w:p w14:paraId="3E1B179F">
            <w:pPr>
              <w:jc w:val="center"/>
              <w:rPr>
                <w:rFonts w:hint="eastAsia" w:ascii="仿宋_GB2312" w:hAnsi="仿宋_GB2312" w:eastAsia="仿宋_GB2312" w:cs="仿宋_GB2312"/>
                <w:kern w:val="0"/>
                <w:sz w:val="22"/>
                <w:szCs w:val="22"/>
                <w:highlight w:val="yellow"/>
                <w:lang w:val="en-US" w:eastAsia="zh-CN" w:bidi="ar-SA"/>
              </w:rPr>
            </w:pPr>
          </w:p>
        </w:tc>
        <w:tc>
          <w:tcPr>
            <w:tcW w:w="912" w:type="dxa"/>
            <w:vMerge w:val="continue"/>
            <w:vAlign w:val="center"/>
          </w:tcPr>
          <w:p w14:paraId="13B57BCF">
            <w:pPr>
              <w:jc w:val="center"/>
              <w:rPr>
                <w:rFonts w:hint="eastAsia" w:ascii="仿宋_GB2312" w:hAnsi="仿宋_GB2312" w:eastAsia="仿宋_GB2312" w:cs="仿宋_GB2312"/>
                <w:kern w:val="0"/>
                <w:sz w:val="22"/>
                <w:szCs w:val="22"/>
                <w:highlight w:val="yellow"/>
                <w:lang w:val="en-US" w:eastAsia="zh-CN" w:bidi="ar-SA"/>
              </w:rPr>
            </w:pPr>
          </w:p>
        </w:tc>
        <w:tc>
          <w:tcPr>
            <w:tcW w:w="980" w:type="dxa"/>
            <w:vMerge w:val="continue"/>
            <w:vAlign w:val="center"/>
          </w:tcPr>
          <w:p w14:paraId="6E054EC8">
            <w:pPr>
              <w:jc w:val="center"/>
              <w:rPr>
                <w:rFonts w:hint="eastAsia" w:ascii="仿宋_GB2312" w:hAnsi="仿宋_GB2312" w:eastAsia="仿宋_GB2312" w:cs="仿宋_GB2312"/>
                <w:kern w:val="0"/>
                <w:sz w:val="22"/>
                <w:szCs w:val="22"/>
                <w:highlight w:val="yellow"/>
                <w:lang w:val="en-US" w:eastAsia="zh-CN" w:bidi="ar-SA"/>
              </w:rPr>
            </w:pPr>
          </w:p>
        </w:tc>
        <w:tc>
          <w:tcPr>
            <w:tcW w:w="922" w:type="dxa"/>
            <w:vAlign w:val="center"/>
          </w:tcPr>
          <w:p w14:paraId="388D1873">
            <w:pPr>
              <w:jc w:val="center"/>
              <w:rPr>
                <w:rFonts w:hint="eastAsia" w:ascii="仿宋_GB2312" w:hAnsi="仿宋_GB2312" w:eastAsia="仿宋_GB2312" w:cs="仿宋_GB2312"/>
                <w:kern w:val="0"/>
                <w:sz w:val="22"/>
                <w:szCs w:val="22"/>
                <w:highlight w:val="none"/>
                <w:lang w:val="en-US" w:eastAsia="zh-CN" w:bidi="ar-SA"/>
              </w:rPr>
            </w:pPr>
            <w:r>
              <w:rPr>
                <w:rFonts w:hint="eastAsia" w:ascii="宋体" w:hAnsi="宋体" w:eastAsia="宋体" w:cs="宋体"/>
                <w:kern w:val="0"/>
                <w:sz w:val="20"/>
                <w:szCs w:val="20"/>
              </w:rPr>
              <w:t>标准</w:t>
            </w:r>
          </w:p>
        </w:tc>
        <w:tc>
          <w:tcPr>
            <w:tcW w:w="950" w:type="dxa"/>
            <w:vAlign w:val="center"/>
          </w:tcPr>
          <w:p w14:paraId="5D1071C4">
            <w:pPr>
              <w:jc w:val="center"/>
              <w:rPr>
                <w:rFonts w:hint="eastAsia" w:ascii="仿宋_GB2312" w:hAnsi="仿宋_GB2312" w:eastAsia="仿宋_GB2312" w:cs="仿宋_GB2312"/>
                <w:kern w:val="0"/>
                <w:sz w:val="22"/>
                <w:szCs w:val="22"/>
                <w:highlight w:val="none"/>
                <w:lang w:val="en-US" w:eastAsia="zh-CN" w:bidi="ar-SA"/>
              </w:rPr>
            </w:pPr>
            <w:r>
              <w:rPr>
                <w:rFonts w:hint="eastAsia" w:ascii="宋体" w:hAnsi="宋体" w:eastAsia="宋体" w:cs="宋体"/>
                <w:kern w:val="0"/>
                <w:sz w:val="20"/>
                <w:szCs w:val="20"/>
              </w:rPr>
              <w:t>费用</w:t>
            </w:r>
          </w:p>
        </w:tc>
        <w:tc>
          <w:tcPr>
            <w:tcW w:w="949" w:type="dxa"/>
            <w:vAlign w:val="center"/>
          </w:tcPr>
          <w:p w14:paraId="0D503B26">
            <w:pPr>
              <w:jc w:val="center"/>
              <w:rPr>
                <w:rFonts w:hint="eastAsia" w:ascii="仿宋_GB2312" w:hAnsi="仿宋_GB2312" w:eastAsia="仿宋_GB2312" w:cs="仿宋_GB2312"/>
                <w:kern w:val="0"/>
                <w:sz w:val="22"/>
                <w:szCs w:val="22"/>
                <w:highlight w:val="none"/>
                <w:lang w:val="en-US" w:eastAsia="zh-CN" w:bidi="ar-SA"/>
              </w:rPr>
            </w:pPr>
            <w:r>
              <w:rPr>
                <w:rFonts w:hint="eastAsia" w:ascii="宋体" w:hAnsi="宋体" w:eastAsia="宋体" w:cs="宋体"/>
                <w:kern w:val="0"/>
                <w:sz w:val="20"/>
                <w:szCs w:val="20"/>
              </w:rPr>
              <w:t>标准</w:t>
            </w:r>
          </w:p>
        </w:tc>
        <w:tc>
          <w:tcPr>
            <w:tcW w:w="875" w:type="dxa"/>
            <w:vAlign w:val="center"/>
          </w:tcPr>
          <w:p w14:paraId="331152D7">
            <w:pPr>
              <w:jc w:val="center"/>
              <w:rPr>
                <w:rFonts w:hint="eastAsia" w:ascii="仿宋_GB2312" w:hAnsi="仿宋_GB2312" w:eastAsia="仿宋_GB2312" w:cs="仿宋_GB2312"/>
                <w:kern w:val="0"/>
                <w:sz w:val="22"/>
                <w:szCs w:val="22"/>
                <w:highlight w:val="none"/>
                <w:lang w:val="en-US" w:eastAsia="zh-CN" w:bidi="ar-SA"/>
              </w:rPr>
            </w:pPr>
            <w:r>
              <w:rPr>
                <w:rFonts w:hint="eastAsia" w:ascii="宋体" w:hAnsi="宋体" w:eastAsia="宋体" w:cs="宋体"/>
                <w:kern w:val="0"/>
                <w:sz w:val="20"/>
                <w:szCs w:val="20"/>
              </w:rPr>
              <w:t>费用</w:t>
            </w:r>
          </w:p>
        </w:tc>
        <w:tc>
          <w:tcPr>
            <w:tcW w:w="990" w:type="dxa"/>
            <w:vMerge w:val="continue"/>
            <w:vAlign w:val="center"/>
          </w:tcPr>
          <w:p w14:paraId="7EF37B1D">
            <w:pPr>
              <w:jc w:val="center"/>
              <w:rPr>
                <w:rFonts w:hint="eastAsia" w:ascii="仿宋_GB2312" w:hAnsi="仿宋_GB2312" w:eastAsia="仿宋_GB2312" w:cs="仿宋_GB2312"/>
                <w:kern w:val="0"/>
                <w:sz w:val="22"/>
                <w:szCs w:val="22"/>
                <w:highlight w:val="yellow"/>
                <w:lang w:val="en-US" w:eastAsia="zh-CN" w:bidi="ar-SA"/>
              </w:rPr>
            </w:pPr>
          </w:p>
        </w:tc>
      </w:tr>
      <w:tr w14:paraId="3398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jc w:val="center"/>
        </w:trPr>
        <w:tc>
          <w:tcPr>
            <w:tcW w:w="975" w:type="dxa"/>
            <w:vAlign w:val="center"/>
          </w:tcPr>
          <w:p w14:paraId="1BBD024E">
            <w:pPr>
              <w:pStyle w:val="10"/>
              <w:spacing w:line="305" w:lineRule="atLeast"/>
              <w:jc w:val="center"/>
              <w:textAlignment w:val="center"/>
              <w:rPr>
                <w:rFonts w:hint="eastAsia" w:ascii="仿宋_GB2312" w:hAnsi="仿宋_GB2312" w:eastAsia="仿宋_GB2312" w:cs="仿宋_GB2312"/>
                <w:bCs/>
                <w:color w:val="000000" w:themeColor="text1"/>
                <w:sz w:val="18"/>
                <w:szCs w:val="32"/>
                <w:highlight w:val="none"/>
                <w14:textFill>
                  <w14:solidFill>
                    <w14:schemeClr w14:val="tx1"/>
                  </w14:solidFill>
                </w14:textFill>
              </w:rPr>
            </w:pPr>
            <w:r>
              <w:rPr>
                <w:rFonts w:hint="eastAsia" w:ascii="宋体" w:hAnsi="宋体" w:cs="宋体"/>
                <w:sz w:val="20"/>
                <w:szCs w:val="20"/>
              </w:rPr>
              <w:t>[V城市规划发展区(普明村</w:t>
            </w:r>
            <w:r>
              <w:rPr>
                <w:rFonts w:hint="eastAsia" w:ascii="宋体" w:hAnsi="宋体" w:cs="宋体"/>
                <w:sz w:val="22"/>
                <w:szCs w:val="22"/>
              </w:rPr>
              <w:t>)</w:t>
            </w:r>
          </w:p>
        </w:tc>
        <w:tc>
          <w:tcPr>
            <w:tcW w:w="798" w:type="dxa"/>
            <w:vAlign w:val="center"/>
          </w:tcPr>
          <w:p w14:paraId="50F8A7D2">
            <w:pPr>
              <w:widowControl/>
              <w:jc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耕地</w:t>
            </w:r>
          </w:p>
        </w:tc>
        <w:tc>
          <w:tcPr>
            <w:tcW w:w="912" w:type="dxa"/>
            <w:vAlign w:val="center"/>
          </w:tcPr>
          <w:p w14:paraId="43E521F9">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0.0767</w:t>
            </w:r>
          </w:p>
        </w:tc>
        <w:tc>
          <w:tcPr>
            <w:tcW w:w="980" w:type="dxa"/>
            <w:vAlign w:val="center"/>
          </w:tcPr>
          <w:p w14:paraId="4B3A6D9A">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bidi="ar"/>
              </w:rPr>
              <w:t>54.2250</w:t>
            </w:r>
          </w:p>
        </w:tc>
        <w:tc>
          <w:tcPr>
            <w:tcW w:w="922" w:type="dxa"/>
            <w:vAlign w:val="center"/>
          </w:tcPr>
          <w:p w14:paraId="4BBC8364">
            <w:pPr>
              <w:pStyle w:val="10"/>
              <w:spacing w:line="305" w:lineRule="atLeast"/>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21.6900</w:t>
            </w:r>
          </w:p>
        </w:tc>
        <w:tc>
          <w:tcPr>
            <w:tcW w:w="950" w:type="dxa"/>
            <w:shd w:val="clear" w:color="auto" w:fill="auto"/>
            <w:vAlign w:val="center"/>
          </w:tcPr>
          <w:p w14:paraId="7FF1B41A">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1.6636</w:t>
            </w:r>
          </w:p>
        </w:tc>
        <w:tc>
          <w:tcPr>
            <w:tcW w:w="949" w:type="dxa"/>
            <w:vAlign w:val="center"/>
          </w:tcPr>
          <w:p w14:paraId="5FF9C9B0">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bidi="ar"/>
              </w:rPr>
              <w:t>32.5350</w:t>
            </w:r>
          </w:p>
        </w:tc>
        <w:tc>
          <w:tcPr>
            <w:tcW w:w="875" w:type="dxa"/>
            <w:vAlign w:val="center"/>
          </w:tcPr>
          <w:p w14:paraId="702AE255">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2.4954</w:t>
            </w:r>
          </w:p>
        </w:tc>
        <w:tc>
          <w:tcPr>
            <w:tcW w:w="990" w:type="dxa"/>
            <w:vAlign w:val="center"/>
          </w:tcPr>
          <w:p w14:paraId="4DCD448C">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4.1590</w:t>
            </w:r>
          </w:p>
        </w:tc>
      </w:tr>
      <w:tr w14:paraId="5D3E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6" w:hRule="exact"/>
          <w:jc w:val="center"/>
        </w:trPr>
        <w:tc>
          <w:tcPr>
            <w:tcW w:w="975" w:type="dxa"/>
            <w:vMerge w:val="restart"/>
            <w:vAlign w:val="center"/>
          </w:tcPr>
          <w:p w14:paraId="72FC9371">
            <w:pPr>
              <w:pStyle w:val="10"/>
              <w:spacing w:line="305" w:lineRule="atLeast"/>
              <w:jc w:val="center"/>
              <w:textAlignment w:val="center"/>
              <w:rPr>
                <w:rFonts w:hint="eastAsia" w:ascii="仿宋_GB2312" w:hAnsi="仿宋_GB2312" w:eastAsia="仿宋_GB2312" w:cs="仿宋_GB2312"/>
                <w:color w:val="000000" w:themeColor="text1"/>
                <w:sz w:val="22"/>
                <w:szCs w:val="22"/>
                <w14:textFill>
                  <w14:solidFill>
                    <w14:schemeClr w14:val="tx1"/>
                  </w14:solidFill>
                </w14:textFill>
              </w:rPr>
            </w:pPr>
            <w:r>
              <w:rPr>
                <w:rFonts w:hint="eastAsia" w:ascii="宋体" w:hAnsi="宋体" w:cs="宋体"/>
                <w:sz w:val="20"/>
                <w:szCs w:val="20"/>
              </w:rPr>
              <w:t>[V城市规划发展区(</w:t>
            </w:r>
            <w:r>
              <w:rPr>
                <w:rFonts w:hint="eastAsia" w:ascii="宋体" w:hAnsi="宋体" w:cs="宋体"/>
                <w:sz w:val="20"/>
                <w:szCs w:val="20"/>
                <w:lang w:val="en-US" w:eastAsia="zh-CN"/>
              </w:rPr>
              <w:t>小万</w:t>
            </w:r>
            <w:r>
              <w:rPr>
                <w:rFonts w:hint="eastAsia" w:ascii="宋体" w:hAnsi="宋体" w:cs="宋体"/>
                <w:sz w:val="20"/>
                <w:szCs w:val="20"/>
              </w:rPr>
              <w:t>村</w:t>
            </w:r>
            <w:r>
              <w:rPr>
                <w:rFonts w:hint="eastAsia" w:ascii="宋体" w:hAnsi="宋体" w:cs="宋体"/>
                <w:sz w:val="22"/>
                <w:szCs w:val="22"/>
              </w:rPr>
              <w:t>)</w:t>
            </w:r>
          </w:p>
        </w:tc>
        <w:tc>
          <w:tcPr>
            <w:tcW w:w="798" w:type="dxa"/>
            <w:vAlign w:val="center"/>
          </w:tcPr>
          <w:p w14:paraId="3D909218">
            <w:pPr>
              <w:widowControl/>
              <w:jc w:val="center"/>
              <w:rPr>
                <w:rFonts w:hint="eastAsia" w:ascii="仿宋_GB2312" w:hAnsi="仿宋_GB2312" w:eastAsia="仿宋_GB2312" w:cs="仿宋_GB2312"/>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耕地</w:t>
            </w:r>
          </w:p>
        </w:tc>
        <w:tc>
          <w:tcPr>
            <w:tcW w:w="912" w:type="dxa"/>
            <w:vAlign w:val="center"/>
          </w:tcPr>
          <w:p w14:paraId="35968395">
            <w:pPr>
              <w:pStyle w:val="10"/>
              <w:spacing w:line="305" w:lineRule="atLeast"/>
              <w:jc w:val="center"/>
              <w:textAlignment w:val="center"/>
              <w:rPr>
                <w:rFonts w:hint="default" w:ascii="仿宋_GB2312" w:hAnsi="仿宋_GB2312" w:eastAsia="仿宋_GB2312" w:cs="仿宋_GB2312"/>
                <w:i w:val="0"/>
                <w:iCs w:val="0"/>
                <w:color w:val="000000"/>
                <w:kern w:val="0"/>
                <w:sz w:val="20"/>
                <w:szCs w:val="20"/>
                <w:u w:val="none"/>
                <w:lang w:val="en-US" w:eastAsia="zh-CN" w:bidi="ar"/>
              </w:rPr>
            </w:pPr>
            <w:r>
              <w:rPr>
                <w:rFonts w:hint="eastAsia" w:ascii="宋体" w:hAnsi="宋体" w:cs="宋体"/>
                <w:color w:val="000000"/>
                <w:sz w:val="20"/>
                <w:szCs w:val="20"/>
                <w:lang w:val="en-US" w:eastAsia="zh-CN" w:bidi="ar"/>
              </w:rPr>
              <w:t>5.9515</w:t>
            </w:r>
          </w:p>
        </w:tc>
        <w:tc>
          <w:tcPr>
            <w:tcW w:w="980" w:type="dxa"/>
            <w:vAlign w:val="center"/>
          </w:tcPr>
          <w:p w14:paraId="47049820">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bidi="ar"/>
              </w:rPr>
              <w:t>54.2250</w:t>
            </w:r>
          </w:p>
        </w:tc>
        <w:tc>
          <w:tcPr>
            <w:tcW w:w="922" w:type="dxa"/>
            <w:vAlign w:val="center"/>
          </w:tcPr>
          <w:p w14:paraId="4A1D3C2D">
            <w:pPr>
              <w:pStyle w:val="10"/>
              <w:spacing w:line="305" w:lineRule="atLeast"/>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21.6900</w:t>
            </w:r>
          </w:p>
        </w:tc>
        <w:tc>
          <w:tcPr>
            <w:tcW w:w="950" w:type="dxa"/>
            <w:shd w:val="clear" w:color="auto" w:fill="auto"/>
            <w:vAlign w:val="center"/>
          </w:tcPr>
          <w:p w14:paraId="3FD895FD">
            <w:pPr>
              <w:pStyle w:val="10"/>
              <w:spacing w:line="305" w:lineRule="atLeast"/>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129.0880</w:t>
            </w:r>
          </w:p>
        </w:tc>
        <w:tc>
          <w:tcPr>
            <w:tcW w:w="949" w:type="dxa"/>
            <w:vAlign w:val="center"/>
          </w:tcPr>
          <w:p w14:paraId="47A4581A">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bidi="ar"/>
              </w:rPr>
              <w:t>32.5350</w:t>
            </w:r>
          </w:p>
        </w:tc>
        <w:tc>
          <w:tcPr>
            <w:tcW w:w="875" w:type="dxa"/>
            <w:vAlign w:val="center"/>
          </w:tcPr>
          <w:p w14:paraId="7FD1CF13">
            <w:pPr>
              <w:pStyle w:val="10"/>
              <w:spacing w:line="305" w:lineRule="atLeast"/>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193.6321</w:t>
            </w:r>
          </w:p>
        </w:tc>
        <w:tc>
          <w:tcPr>
            <w:tcW w:w="990" w:type="dxa"/>
            <w:vAlign w:val="center"/>
          </w:tcPr>
          <w:p w14:paraId="76CB8237">
            <w:pPr>
              <w:pStyle w:val="10"/>
              <w:spacing w:line="305" w:lineRule="atLeast"/>
              <w:jc w:val="center"/>
              <w:textAlignment w:val="center"/>
              <w:rPr>
                <w:rFonts w:hint="default"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322.7201</w:t>
            </w:r>
          </w:p>
        </w:tc>
      </w:tr>
      <w:tr w14:paraId="2840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exact"/>
          <w:jc w:val="center"/>
        </w:trPr>
        <w:tc>
          <w:tcPr>
            <w:tcW w:w="975" w:type="dxa"/>
            <w:vMerge w:val="continue"/>
            <w:vAlign w:val="center"/>
          </w:tcPr>
          <w:p w14:paraId="225C635C">
            <w:pPr>
              <w:pStyle w:val="10"/>
              <w:spacing w:line="305" w:lineRule="atLeast"/>
              <w:jc w:val="center"/>
              <w:textAlignment w:val="center"/>
              <w:rPr>
                <w:rFonts w:hint="eastAsia" w:ascii="宋体" w:hAnsi="宋体" w:cs="宋体"/>
                <w:sz w:val="20"/>
                <w:szCs w:val="20"/>
              </w:rPr>
            </w:pPr>
          </w:p>
        </w:tc>
        <w:tc>
          <w:tcPr>
            <w:tcW w:w="798" w:type="dxa"/>
            <w:vAlign w:val="center"/>
          </w:tcPr>
          <w:p w14:paraId="4D77F5B2">
            <w:pPr>
              <w:widowControl/>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其他土地（田坎）</w:t>
            </w:r>
          </w:p>
        </w:tc>
        <w:tc>
          <w:tcPr>
            <w:tcW w:w="912" w:type="dxa"/>
            <w:vAlign w:val="center"/>
          </w:tcPr>
          <w:p w14:paraId="04AF9563">
            <w:pPr>
              <w:pStyle w:val="10"/>
              <w:spacing w:line="305" w:lineRule="atLeast"/>
              <w:jc w:val="center"/>
              <w:textAlignment w:val="center"/>
              <w:rPr>
                <w:rFonts w:hint="default" w:ascii="宋体" w:hAnsi="宋体" w:cs="宋体"/>
                <w:color w:val="000000"/>
                <w:sz w:val="20"/>
                <w:szCs w:val="20"/>
                <w:lang w:val="en-US" w:eastAsia="zh-CN" w:bidi="ar"/>
              </w:rPr>
            </w:pPr>
            <w:r>
              <w:rPr>
                <w:rFonts w:hint="eastAsia" w:ascii="宋体" w:hAnsi="宋体" w:cs="宋体"/>
                <w:color w:val="000000"/>
                <w:sz w:val="20"/>
                <w:szCs w:val="20"/>
                <w:lang w:val="en-US" w:eastAsia="zh-CN" w:bidi="ar"/>
              </w:rPr>
              <w:t>0.1264</w:t>
            </w:r>
          </w:p>
        </w:tc>
        <w:tc>
          <w:tcPr>
            <w:tcW w:w="980" w:type="dxa"/>
            <w:vAlign w:val="center"/>
          </w:tcPr>
          <w:p w14:paraId="4E92874E">
            <w:pPr>
              <w:pStyle w:val="10"/>
              <w:spacing w:line="305" w:lineRule="atLeast"/>
              <w:jc w:val="center"/>
              <w:textAlignment w:val="center"/>
              <w:rPr>
                <w:rFonts w:hint="eastAsia" w:ascii="宋体" w:hAnsi="宋体" w:cs="宋体"/>
                <w:color w:val="000000"/>
                <w:sz w:val="20"/>
                <w:szCs w:val="20"/>
                <w:lang w:bidi="ar"/>
              </w:rPr>
            </w:pPr>
            <w:r>
              <w:rPr>
                <w:rFonts w:hint="eastAsia" w:ascii="宋体" w:hAnsi="宋体" w:cs="宋体"/>
                <w:color w:val="000000"/>
                <w:sz w:val="20"/>
                <w:szCs w:val="20"/>
                <w:lang w:bidi="ar"/>
              </w:rPr>
              <w:t>54.2250</w:t>
            </w:r>
          </w:p>
        </w:tc>
        <w:tc>
          <w:tcPr>
            <w:tcW w:w="922" w:type="dxa"/>
            <w:vAlign w:val="center"/>
          </w:tcPr>
          <w:p w14:paraId="5E8DD444">
            <w:pPr>
              <w:pStyle w:val="10"/>
              <w:spacing w:line="305" w:lineRule="atLeast"/>
              <w:jc w:val="center"/>
              <w:textAlignment w:val="center"/>
              <w:rPr>
                <w:rFonts w:hint="default" w:ascii="宋体" w:hAnsi="宋体" w:cs="宋体"/>
                <w:color w:val="000000"/>
                <w:sz w:val="20"/>
                <w:szCs w:val="20"/>
                <w:lang w:val="en-US" w:eastAsia="zh-CN" w:bidi="ar"/>
              </w:rPr>
            </w:pPr>
            <w:r>
              <w:rPr>
                <w:rFonts w:hint="eastAsia" w:ascii="宋体" w:hAnsi="宋体" w:cs="宋体"/>
                <w:color w:val="000000"/>
                <w:sz w:val="20"/>
                <w:szCs w:val="20"/>
                <w:lang w:val="en-US" w:eastAsia="zh-CN" w:bidi="ar"/>
              </w:rPr>
              <w:t>21.6900</w:t>
            </w:r>
          </w:p>
        </w:tc>
        <w:tc>
          <w:tcPr>
            <w:tcW w:w="950" w:type="dxa"/>
            <w:shd w:val="clear" w:color="auto" w:fill="auto"/>
            <w:vAlign w:val="center"/>
          </w:tcPr>
          <w:p w14:paraId="7AF99C02">
            <w:pPr>
              <w:pStyle w:val="10"/>
              <w:spacing w:line="305" w:lineRule="atLeast"/>
              <w:jc w:val="center"/>
              <w:textAlignment w:val="center"/>
              <w:rPr>
                <w:rFonts w:hint="default" w:ascii="宋体" w:hAnsi="宋体" w:cs="宋体"/>
                <w:color w:val="000000"/>
                <w:sz w:val="20"/>
                <w:szCs w:val="20"/>
                <w:lang w:val="en-US" w:eastAsia="zh-CN" w:bidi="ar"/>
              </w:rPr>
            </w:pPr>
            <w:r>
              <w:rPr>
                <w:rFonts w:hint="eastAsia" w:ascii="宋体" w:hAnsi="宋体" w:cs="宋体"/>
                <w:color w:val="000000"/>
                <w:sz w:val="20"/>
                <w:szCs w:val="20"/>
                <w:lang w:val="en-US" w:eastAsia="zh-CN" w:bidi="ar"/>
              </w:rPr>
              <w:t>2.7416</w:t>
            </w:r>
          </w:p>
        </w:tc>
        <w:tc>
          <w:tcPr>
            <w:tcW w:w="949" w:type="dxa"/>
            <w:vAlign w:val="center"/>
          </w:tcPr>
          <w:p w14:paraId="77283129">
            <w:pPr>
              <w:pStyle w:val="10"/>
              <w:spacing w:line="305" w:lineRule="atLeast"/>
              <w:jc w:val="center"/>
              <w:textAlignment w:val="center"/>
              <w:rPr>
                <w:rFonts w:hint="eastAsia" w:ascii="宋体" w:hAnsi="宋体" w:cs="宋体"/>
                <w:color w:val="000000"/>
                <w:sz w:val="20"/>
                <w:szCs w:val="20"/>
                <w:lang w:bidi="ar"/>
              </w:rPr>
            </w:pPr>
            <w:r>
              <w:rPr>
                <w:rFonts w:hint="eastAsia" w:ascii="宋体" w:hAnsi="宋体" w:cs="宋体"/>
                <w:color w:val="000000"/>
                <w:sz w:val="20"/>
                <w:szCs w:val="20"/>
                <w:lang w:bidi="ar"/>
              </w:rPr>
              <w:t>32.5350</w:t>
            </w:r>
          </w:p>
        </w:tc>
        <w:tc>
          <w:tcPr>
            <w:tcW w:w="875" w:type="dxa"/>
            <w:vAlign w:val="center"/>
          </w:tcPr>
          <w:p w14:paraId="7E7BB2F8">
            <w:pPr>
              <w:pStyle w:val="10"/>
              <w:spacing w:line="305" w:lineRule="atLeast"/>
              <w:jc w:val="center"/>
              <w:textAlignment w:val="center"/>
              <w:rPr>
                <w:rFonts w:hint="default" w:ascii="宋体" w:hAnsi="宋体" w:cs="宋体"/>
                <w:color w:val="000000"/>
                <w:sz w:val="20"/>
                <w:szCs w:val="20"/>
                <w:lang w:val="en-US" w:eastAsia="zh-CN" w:bidi="ar"/>
              </w:rPr>
            </w:pPr>
            <w:r>
              <w:rPr>
                <w:rFonts w:hint="eastAsia" w:ascii="宋体" w:hAnsi="宋体" w:cs="宋体"/>
                <w:color w:val="000000"/>
                <w:sz w:val="20"/>
                <w:szCs w:val="20"/>
                <w:lang w:val="en-US" w:eastAsia="zh-CN" w:bidi="ar"/>
              </w:rPr>
              <w:t>4.1124</w:t>
            </w:r>
          </w:p>
        </w:tc>
        <w:tc>
          <w:tcPr>
            <w:tcW w:w="990" w:type="dxa"/>
            <w:vAlign w:val="center"/>
          </w:tcPr>
          <w:p w14:paraId="5C50E6B4">
            <w:pPr>
              <w:pStyle w:val="10"/>
              <w:spacing w:line="305" w:lineRule="atLeast"/>
              <w:jc w:val="center"/>
              <w:textAlignment w:val="center"/>
              <w:rPr>
                <w:rFonts w:hint="default" w:ascii="宋体" w:hAnsi="宋体" w:cs="宋体"/>
                <w:color w:val="000000"/>
                <w:sz w:val="20"/>
                <w:szCs w:val="20"/>
                <w:lang w:val="en-US" w:eastAsia="zh-CN" w:bidi="ar"/>
              </w:rPr>
            </w:pPr>
            <w:r>
              <w:rPr>
                <w:rFonts w:hint="eastAsia" w:ascii="宋体" w:hAnsi="宋体" w:cs="宋体"/>
                <w:color w:val="000000"/>
                <w:sz w:val="20"/>
                <w:szCs w:val="20"/>
                <w:lang w:val="en-US" w:eastAsia="zh-CN" w:bidi="ar"/>
              </w:rPr>
              <w:t>6.8540</w:t>
            </w:r>
          </w:p>
        </w:tc>
      </w:tr>
      <w:tr w14:paraId="5ED5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exact"/>
          <w:jc w:val="center"/>
        </w:trPr>
        <w:tc>
          <w:tcPr>
            <w:tcW w:w="1773" w:type="dxa"/>
            <w:gridSpan w:val="2"/>
            <w:vAlign w:val="center"/>
          </w:tcPr>
          <w:p w14:paraId="521E7C20">
            <w:pPr>
              <w:widowControl/>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eastAsia="宋体" w:cs="宋体"/>
                <w:color w:val="000000"/>
                <w:kern w:val="0"/>
                <w:sz w:val="22"/>
                <w:lang w:bidi="ar"/>
              </w:rPr>
              <w:t>合计</w:t>
            </w:r>
          </w:p>
        </w:tc>
        <w:tc>
          <w:tcPr>
            <w:tcW w:w="912" w:type="dxa"/>
            <w:shd w:val="clear" w:color="auto" w:fill="auto"/>
            <w:vAlign w:val="center"/>
          </w:tcPr>
          <w:p w14:paraId="66008854">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6.1546</w:t>
            </w:r>
          </w:p>
        </w:tc>
        <w:tc>
          <w:tcPr>
            <w:tcW w:w="980" w:type="dxa"/>
            <w:shd w:val="clear" w:color="auto" w:fill="auto"/>
            <w:vAlign w:val="center"/>
          </w:tcPr>
          <w:p w14:paraId="1535BA3D">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22" w:type="dxa"/>
            <w:shd w:val="clear" w:color="auto" w:fill="auto"/>
            <w:vAlign w:val="center"/>
          </w:tcPr>
          <w:p w14:paraId="04322ED1">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950" w:type="dxa"/>
            <w:shd w:val="clear" w:color="auto" w:fill="auto"/>
            <w:vAlign w:val="center"/>
          </w:tcPr>
          <w:p w14:paraId="2817D7C0">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133.4932</w:t>
            </w:r>
          </w:p>
        </w:tc>
        <w:tc>
          <w:tcPr>
            <w:tcW w:w="949" w:type="dxa"/>
            <w:shd w:val="clear" w:color="auto" w:fill="auto"/>
            <w:vAlign w:val="center"/>
          </w:tcPr>
          <w:p w14:paraId="3D030DB5">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c>
          <w:tcPr>
            <w:tcW w:w="875" w:type="dxa"/>
            <w:shd w:val="clear" w:color="auto" w:fill="auto"/>
            <w:vAlign w:val="center"/>
          </w:tcPr>
          <w:p w14:paraId="79A5073E">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200.2399</w:t>
            </w:r>
          </w:p>
        </w:tc>
        <w:tc>
          <w:tcPr>
            <w:tcW w:w="990" w:type="dxa"/>
            <w:shd w:val="clear" w:color="auto" w:fill="auto"/>
            <w:vAlign w:val="center"/>
          </w:tcPr>
          <w:p w14:paraId="5FA207AF">
            <w:pPr>
              <w:pStyle w:val="10"/>
              <w:spacing w:line="305" w:lineRule="atLeas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宋体" w:hAnsi="宋体" w:cs="宋体"/>
                <w:color w:val="000000"/>
                <w:sz w:val="20"/>
                <w:szCs w:val="20"/>
                <w:lang w:val="en-US" w:eastAsia="zh-CN" w:bidi="ar"/>
              </w:rPr>
              <w:t>333.7331</w:t>
            </w:r>
          </w:p>
        </w:tc>
      </w:tr>
    </w:tbl>
    <w:p w14:paraId="4F000899">
      <w:pPr>
        <w:spacing w:line="560" w:lineRule="exact"/>
        <w:ind w:firstLine="627" w:firstLineChars="196"/>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八、补偿费支付方式</w:t>
      </w:r>
      <w:r>
        <w:rPr>
          <w:rFonts w:hint="eastAsia" w:ascii="黑体" w:hAnsi="黑体" w:eastAsia="黑体" w:cs="黑体"/>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由县政府在用地报批前缴纳预存征地补偿款。用地批准后,按公布的征地综合地价测算补偿费用,需实际支付的征地补偿费高于协议金额的,要足额补足;需实际支付的征地补偿费低于协议金额的，仍按原协议执行,县政府根据批准情况对预存的征地补偿款及时核算,多退少补。</w:t>
      </w:r>
    </w:p>
    <w:p w14:paraId="386DBA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九、补偿费支付对象</w:t>
      </w:r>
      <w:r>
        <w:rPr>
          <w:rFonts w:hint="eastAsia" w:ascii="黑体" w:hAnsi="黑体" w:eastAsia="黑体" w:cs="黑体"/>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普明镇普明村村民委员会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普明镇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小万</w:t>
      </w:r>
      <w:r>
        <w:rPr>
          <w:rFonts w:hint="eastAsia" w:ascii="仿宋_GB2312" w:hAnsi="仿宋_GB2312" w:eastAsia="仿宋_GB2312" w:cs="仿宋_GB2312"/>
          <w:color w:val="000000" w:themeColor="text1"/>
          <w:sz w:val="32"/>
          <w:szCs w:val="32"/>
          <w14:textFill>
            <w14:solidFill>
              <w14:schemeClr w14:val="tx1"/>
            </w14:solidFill>
          </w14:textFill>
        </w:rPr>
        <w:t>村村民委员会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及被征地农户</w:t>
      </w:r>
      <w:r>
        <w:rPr>
          <w:rFonts w:hint="eastAsia" w:ascii="仿宋_GB2312" w:hAnsi="仿宋_GB2312" w:eastAsia="仿宋_GB2312" w:cs="仿宋_GB2312"/>
          <w:color w:val="000000" w:themeColor="text1"/>
          <w:sz w:val="32"/>
          <w:szCs w:val="32"/>
          <w14:textFill>
            <w14:solidFill>
              <w14:schemeClr w14:val="tx1"/>
            </w14:solidFill>
          </w14:textFill>
        </w:rPr>
        <w:t>。</w:t>
      </w:r>
    </w:p>
    <w:p w14:paraId="141B14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十、安置方式</w:t>
      </w:r>
      <w:r>
        <w:rPr>
          <w:rFonts w:hint="eastAsia" w:ascii="黑体" w:hAnsi="黑体" w:eastAsia="黑体" w:cs="黑体"/>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社保补贴、货币补偿。</w:t>
      </w:r>
    </w:p>
    <w:p w14:paraId="07F973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十一、社会保障</w:t>
      </w:r>
      <w:r>
        <w:rPr>
          <w:rFonts w:hint="eastAsia" w:ascii="黑体" w:hAnsi="黑体" w:eastAsia="黑体" w:cs="黑体"/>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按照《山西省人民政府办公厅关于对被征地农民实行基本养老补贴的意见》(晋政办发〔2019〕10号)、《岚县人民政府办公室关于印发&lt;岚县对被征地农民实行基本养老保险补贴的实施办法（试行）&gt;的通知》(岚政办发〔2021〕28号)执行。</w:t>
      </w:r>
    </w:p>
    <w:p w14:paraId="661BC3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十二、公告方式:</w:t>
      </w:r>
      <w:r>
        <w:rPr>
          <w:rFonts w:hint="eastAsia" w:ascii="黑体" w:hAnsi="黑体" w:eastAsia="黑体" w:cs="黑体"/>
          <w:b/>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普明镇普明村、小万村</w:t>
      </w:r>
      <w:r>
        <w:rPr>
          <w:rFonts w:hint="eastAsia" w:ascii="仿宋_GB2312" w:hAnsi="仿宋_GB2312" w:eastAsia="仿宋_GB2312" w:cs="仿宋_GB2312"/>
          <w:color w:val="000000" w:themeColor="text1"/>
          <w:sz w:val="32"/>
          <w:szCs w:val="32"/>
          <w14:textFill>
            <w14:solidFill>
              <w14:schemeClr w14:val="tx1"/>
            </w14:solidFill>
          </w14:textFill>
        </w:rPr>
        <w:t>范围内张贴发布、并通过岚县人民政府信息公开网络平台予以公开。</w:t>
      </w:r>
    </w:p>
    <w:p w14:paraId="6CC396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yellow"/>
        </w:rPr>
      </w:pPr>
      <w:r>
        <w:rPr>
          <w:rFonts w:hint="eastAsia" w:ascii="黑体" w:hAnsi="黑体" w:eastAsia="黑体" w:cs="黑体"/>
          <w:b w:val="0"/>
          <w:bCs w:val="0"/>
          <w:color w:val="000000" w:themeColor="text1"/>
          <w:sz w:val="32"/>
          <w:szCs w:val="32"/>
          <w14:textFill>
            <w14:solidFill>
              <w14:schemeClr w14:val="tx1"/>
            </w14:solidFill>
          </w14:textFill>
        </w:rPr>
        <w:t>十三、公告时间</w:t>
      </w:r>
      <w:r>
        <w:rPr>
          <w:rFonts w:hint="eastAsia" w:ascii="黑体" w:hAnsi="黑体" w:eastAsia="黑体" w:cs="黑体"/>
          <w:b/>
          <w:bCs/>
          <w:color w:val="000000" w:themeColor="text1"/>
          <w:sz w:val="32"/>
          <w:szCs w:val="32"/>
          <w14:textFill>
            <w14:solidFill>
              <w14:schemeClr w14:val="tx1"/>
            </w14:solidFill>
          </w14:textFill>
        </w:rPr>
        <w:t>:</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18</w:t>
      </w:r>
      <w:r>
        <w:rPr>
          <w:rFonts w:hint="eastAsia" w:ascii="仿宋_GB2312" w:hAnsi="仿宋_GB2312" w:eastAsia="仿宋_GB2312" w:cs="仿宋_GB2312"/>
          <w:color w:val="auto"/>
          <w:sz w:val="32"/>
          <w:szCs w:val="32"/>
          <w:highlight w:val="none"/>
        </w:rPr>
        <w:t>日—202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17</w:t>
      </w:r>
      <w:r>
        <w:rPr>
          <w:rFonts w:hint="eastAsia" w:ascii="仿宋_GB2312" w:hAnsi="仿宋_GB2312" w:eastAsia="仿宋_GB2312" w:cs="仿宋_GB2312"/>
          <w:color w:val="auto"/>
          <w:sz w:val="32"/>
          <w:szCs w:val="32"/>
          <w:highlight w:val="none"/>
        </w:rPr>
        <w:t>日(不少于30天）。</w:t>
      </w:r>
    </w:p>
    <w:p w14:paraId="56EAE1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 xml:space="preserve">十四、公告地点: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普明镇普明村、小万村</w:t>
      </w:r>
      <w:r>
        <w:rPr>
          <w:rFonts w:hint="eastAsia" w:ascii="仿宋_GB2312" w:hAnsi="仿宋_GB2312" w:eastAsia="仿宋_GB2312" w:cs="仿宋_GB2312"/>
          <w:color w:val="000000" w:themeColor="text1"/>
          <w:sz w:val="32"/>
          <w:szCs w:val="32"/>
          <w14:textFill>
            <w14:solidFill>
              <w14:schemeClr w14:val="tx1"/>
            </w14:solidFill>
          </w14:textFill>
        </w:rPr>
        <w:t>范围内。</w:t>
      </w:r>
    </w:p>
    <w:p w14:paraId="5511AB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十五、补偿登记时间、地点等事项:</w:t>
      </w:r>
      <w:r>
        <w:rPr>
          <w:rFonts w:hint="eastAsia" w:ascii="仿宋_GB2312" w:hAnsi="仿宋_GB2312" w:eastAsia="仿宋_GB2312" w:cs="仿宋_GB2312"/>
          <w:color w:val="000000" w:themeColor="text1"/>
          <w:sz w:val="32"/>
          <w:szCs w:val="32"/>
          <w14:textFill>
            <w14:solidFill>
              <w14:schemeClr w14:val="tx1"/>
            </w14:solidFill>
          </w14:textFill>
        </w:rPr>
        <w:t xml:space="preserve">于公告时间届满前两天,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普明镇</w:t>
      </w:r>
      <w:r>
        <w:rPr>
          <w:rFonts w:hint="eastAsia" w:ascii="仿宋_GB2312" w:hAnsi="仿宋_GB2312" w:eastAsia="仿宋_GB2312" w:cs="仿宋_GB2312"/>
          <w:color w:val="000000" w:themeColor="text1"/>
          <w:sz w:val="32"/>
          <w:szCs w:val="32"/>
          <w14:textFill>
            <w14:solidFill>
              <w14:schemeClr w14:val="tx1"/>
            </w14:solidFill>
          </w14:textFill>
        </w:rPr>
        <w:t>人民政府统一登记。</w:t>
      </w:r>
      <w:r>
        <w:rPr>
          <w:rFonts w:hint="eastAsia" w:ascii="仿宋" w:hAnsi="仿宋" w:eastAsia="仿宋" w:cs="仿宋"/>
          <w:color w:val="000000" w:themeColor="text1"/>
          <w:sz w:val="32"/>
          <w:szCs w:val="32"/>
          <w14:textFill>
            <w14:solidFill>
              <w14:schemeClr w14:val="tx1"/>
            </w14:solidFill>
          </w14:textFill>
        </w:rPr>
        <w:t xml:space="preserve">       </w:t>
      </w:r>
    </w:p>
    <w:p w14:paraId="4C9043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十六、异议反馈渠道:</w:t>
      </w:r>
      <w:r>
        <w:rPr>
          <w:rFonts w:hint="eastAsia" w:ascii="仿宋_GB2312" w:hAnsi="仿宋_GB2312" w:eastAsia="仿宋_GB2312" w:cs="仿宋_GB2312"/>
          <w:color w:val="000000" w:themeColor="text1"/>
          <w:sz w:val="32"/>
          <w:szCs w:val="32"/>
          <w14:textFill>
            <w14:solidFill>
              <w14:schemeClr w14:val="tx1"/>
            </w14:solidFill>
          </w14:textFill>
        </w:rPr>
        <w:t>如对本公告内容有异议,应在公告期内通过书面形式向岚县自然资源局进行反馈。</w:t>
      </w:r>
    </w:p>
    <w:p w14:paraId="5FA9A8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十七、复议诉讼权利:</w:t>
      </w:r>
      <w:r>
        <w:rPr>
          <w:rFonts w:hint="eastAsia" w:ascii="仿宋_GB2312" w:hAnsi="仿宋_GB2312" w:eastAsia="仿宋_GB2312" w:cs="仿宋_GB2312"/>
          <w:color w:val="000000" w:themeColor="text1"/>
          <w:sz w:val="32"/>
          <w:szCs w:val="32"/>
          <w14:textFill>
            <w14:solidFill>
              <w14:schemeClr w14:val="tx1"/>
            </w14:solidFill>
          </w14:textFill>
        </w:rPr>
        <w:t>如对征收补偿安置方案有异议,可在六十日内向吕梁市人民政府申请行政复议或者六个月内向人民法院提起行政诉讼。</w:t>
      </w:r>
    </w:p>
    <w:p w14:paraId="3BF68B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w:t>
      </w:r>
    </w:p>
    <w:p w14:paraId="490CB9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32"/>
          <w:szCs w:val="32"/>
          <w:highlight w:val="none"/>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CD790D-21B1-4BCD-8EC5-E97B5BF61D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6B2852F3-A7B3-4B1C-AA09-95D4C5577818}"/>
  </w:font>
  <w:font w:name="方正小标宋_GBK">
    <w:panose1 w:val="02000000000000000000"/>
    <w:charset w:val="86"/>
    <w:family w:val="script"/>
    <w:pitch w:val="default"/>
    <w:sig w:usb0="A00002BF" w:usb1="38CF7CFA" w:usb2="00082016" w:usb3="00000000" w:csb0="00040001" w:csb1="00000000"/>
    <w:embedRegular r:id="rId3" w:fontKey="{8B45361F-5756-4A37-89E5-B2A0CF762C2C}"/>
  </w:font>
  <w:font w:name="仿宋_GB2312">
    <w:panose1 w:val="02010609030101010101"/>
    <w:charset w:val="86"/>
    <w:family w:val="modern"/>
    <w:pitch w:val="default"/>
    <w:sig w:usb0="00000001" w:usb1="080E0000" w:usb2="00000000" w:usb3="00000000" w:csb0="00040000" w:csb1="00000000"/>
    <w:embedRegular r:id="rId4" w:fontKey="{E41C271A-A8AF-4802-A284-C4F43AFE44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jN2Y5MGY4ZWM5NWYyMzA2MzEwYTdhNzI0ZGE1ZTYifQ=="/>
  </w:docVars>
  <w:rsids>
    <w:rsidRoot w:val="00EC5373"/>
    <w:rsid w:val="00003D5F"/>
    <w:rsid w:val="000339B6"/>
    <w:rsid w:val="000363E8"/>
    <w:rsid w:val="00043617"/>
    <w:rsid w:val="000662F9"/>
    <w:rsid w:val="000737F5"/>
    <w:rsid w:val="000C5255"/>
    <w:rsid w:val="000C705B"/>
    <w:rsid w:val="000E0157"/>
    <w:rsid w:val="000E2A34"/>
    <w:rsid w:val="000E4A8B"/>
    <w:rsid w:val="001274E6"/>
    <w:rsid w:val="00130090"/>
    <w:rsid w:val="0016727E"/>
    <w:rsid w:val="001823C3"/>
    <w:rsid w:val="001B113E"/>
    <w:rsid w:val="001E055A"/>
    <w:rsid w:val="00203E52"/>
    <w:rsid w:val="00241EEA"/>
    <w:rsid w:val="00261364"/>
    <w:rsid w:val="00263E7D"/>
    <w:rsid w:val="00271AB8"/>
    <w:rsid w:val="00276F5E"/>
    <w:rsid w:val="002857A5"/>
    <w:rsid w:val="002904B3"/>
    <w:rsid w:val="00290CB4"/>
    <w:rsid w:val="00302ECA"/>
    <w:rsid w:val="0034529E"/>
    <w:rsid w:val="003507B4"/>
    <w:rsid w:val="00355744"/>
    <w:rsid w:val="00356186"/>
    <w:rsid w:val="00360182"/>
    <w:rsid w:val="00371528"/>
    <w:rsid w:val="003958DA"/>
    <w:rsid w:val="003C278C"/>
    <w:rsid w:val="003D4734"/>
    <w:rsid w:val="003D58F0"/>
    <w:rsid w:val="004055B4"/>
    <w:rsid w:val="00411E02"/>
    <w:rsid w:val="004475CD"/>
    <w:rsid w:val="004477E1"/>
    <w:rsid w:val="004739D5"/>
    <w:rsid w:val="004A1FCE"/>
    <w:rsid w:val="004B5053"/>
    <w:rsid w:val="004D245C"/>
    <w:rsid w:val="004E3626"/>
    <w:rsid w:val="004F0475"/>
    <w:rsid w:val="00511298"/>
    <w:rsid w:val="00531A2D"/>
    <w:rsid w:val="005341F2"/>
    <w:rsid w:val="00536EFC"/>
    <w:rsid w:val="0053707A"/>
    <w:rsid w:val="00547FAD"/>
    <w:rsid w:val="005505E1"/>
    <w:rsid w:val="005531CE"/>
    <w:rsid w:val="00573242"/>
    <w:rsid w:val="0058243B"/>
    <w:rsid w:val="005B3BC2"/>
    <w:rsid w:val="00601CF7"/>
    <w:rsid w:val="006028B5"/>
    <w:rsid w:val="00604796"/>
    <w:rsid w:val="00612BA3"/>
    <w:rsid w:val="006146D3"/>
    <w:rsid w:val="00626645"/>
    <w:rsid w:val="006340D5"/>
    <w:rsid w:val="0065594E"/>
    <w:rsid w:val="00666D6E"/>
    <w:rsid w:val="00675421"/>
    <w:rsid w:val="00686994"/>
    <w:rsid w:val="00695408"/>
    <w:rsid w:val="006978AA"/>
    <w:rsid w:val="006B0C56"/>
    <w:rsid w:val="006B1AA7"/>
    <w:rsid w:val="006B2A51"/>
    <w:rsid w:val="006C3D19"/>
    <w:rsid w:val="006E0192"/>
    <w:rsid w:val="006F18D8"/>
    <w:rsid w:val="007122BA"/>
    <w:rsid w:val="00713CE3"/>
    <w:rsid w:val="00714365"/>
    <w:rsid w:val="00723E4B"/>
    <w:rsid w:val="00724C11"/>
    <w:rsid w:val="007255F8"/>
    <w:rsid w:val="0073003A"/>
    <w:rsid w:val="00737D7A"/>
    <w:rsid w:val="00747146"/>
    <w:rsid w:val="00784C6A"/>
    <w:rsid w:val="00795927"/>
    <w:rsid w:val="007A3425"/>
    <w:rsid w:val="007A6A92"/>
    <w:rsid w:val="007B44DF"/>
    <w:rsid w:val="007B60D5"/>
    <w:rsid w:val="007E1200"/>
    <w:rsid w:val="007E152C"/>
    <w:rsid w:val="007F0577"/>
    <w:rsid w:val="007F0C8F"/>
    <w:rsid w:val="007F60E9"/>
    <w:rsid w:val="007F76C3"/>
    <w:rsid w:val="008010AE"/>
    <w:rsid w:val="00827CB1"/>
    <w:rsid w:val="00842BE0"/>
    <w:rsid w:val="00855AE6"/>
    <w:rsid w:val="00862013"/>
    <w:rsid w:val="008673BD"/>
    <w:rsid w:val="008678D6"/>
    <w:rsid w:val="0089279C"/>
    <w:rsid w:val="00893418"/>
    <w:rsid w:val="008A2937"/>
    <w:rsid w:val="008A4F68"/>
    <w:rsid w:val="008E084F"/>
    <w:rsid w:val="008E29B6"/>
    <w:rsid w:val="008F0215"/>
    <w:rsid w:val="008F3442"/>
    <w:rsid w:val="008F5BBA"/>
    <w:rsid w:val="009162DB"/>
    <w:rsid w:val="00931685"/>
    <w:rsid w:val="00952186"/>
    <w:rsid w:val="00985E12"/>
    <w:rsid w:val="00990AB2"/>
    <w:rsid w:val="009D0A63"/>
    <w:rsid w:val="009D5C34"/>
    <w:rsid w:val="009F3A5D"/>
    <w:rsid w:val="00A0417E"/>
    <w:rsid w:val="00A1431C"/>
    <w:rsid w:val="00A20F02"/>
    <w:rsid w:val="00A217D8"/>
    <w:rsid w:val="00A525C9"/>
    <w:rsid w:val="00A61DD0"/>
    <w:rsid w:val="00A7646E"/>
    <w:rsid w:val="00A822F3"/>
    <w:rsid w:val="00A91B5E"/>
    <w:rsid w:val="00A93F21"/>
    <w:rsid w:val="00AA56CD"/>
    <w:rsid w:val="00AA5E95"/>
    <w:rsid w:val="00AF3AD3"/>
    <w:rsid w:val="00B04593"/>
    <w:rsid w:val="00B169B7"/>
    <w:rsid w:val="00B35B71"/>
    <w:rsid w:val="00B77B4C"/>
    <w:rsid w:val="00B83963"/>
    <w:rsid w:val="00B9127D"/>
    <w:rsid w:val="00BB04B6"/>
    <w:rsid w:val="00BE7157"/>
    <w:rsid w:val="00BE7CE2"/>
    <w:rsid w:val="00C0744A"/>
    <w:rsid w:val="00C13796"/>
    <w:rsid w:val="00C22E78"/>
    <w:rsid w:val="00C3184D"/>
    <w:rsid w:val="00C43261"/>
    <w:rsid w:val="00C579D6"/>
    <w:rsid w:val="00C73EC2"/>
    <w:rsid w:val="00C8120A"/>
    <w:rsid w:val="00C9160D"/>
    <w:rsid w:val="00C94A50"/>
    <w:rsid w:val="00C96235"/>
    <w:rsid w:val="00CB656F"/>
    <w:rsid w:val="00CB69C5"/>
    <w:rsid w:val="00CC34C8"/>
    <w:rsid w:val="00CE49BE"/>
    <w:rsid w:val="00D12329"/>
    <w:rsid w:val="00D12BF9"/>
    <w:rsid w:val="00D165CA"/>
    <w:rsid w:val="00D53966"/>
    <w:rsid w:val="00D70351"/>
    <w:rsid w:val="00D7757E"/>
    <w:rsid w:val="00D87BA6"/>
    <w:rsid w:val="00DA4725"/>
    <w:rsid w:val="00DC353C"/>
    <w:rsid w:val="00DC42B6"/>
    <w:rsid w:val="00DC5F9B"/>
    <w:rsid w:val="00DE3D18"/>
    <w:rsid w:val="00E3316A"/>
    <w:rsid w:val="00E44EEE"/>
    <w:rsid w:val="00E51E69"/>
    <w:rsid w:val="00E62BE8"/>
    <w:rsid w:val="00E632EE"/>
    <w:rsid w:val="00E71416"/>
    <w:rsid w:val="00E862FA"/>
    <w:rsid w:val="00EA30A7"/>
    <w:rsid w:val="00EB31E8"/>
    <w:rsid w:val="00EC5373"/>
    <w:rsid w:val="00ED3933"/>
    <w:rsid w:val="00EE40B1"/>
    <w:rsid w:val="00EE7280"/>
    <w:rsid w:val="00F07475"/>
    <w:rsid w:val="00F25F6E"/>
    <w:rsid w:val="00F25F7A"/>
    <w:rsid w:val="00F34015"/>
    <w:rsid w:val="00F40E8F"/>
    <w:rsid w:val="00F43F9D"/>
    <w:rsid w:val="00F65986"/>
    <w:rsid w:val="00F840F9"/>
    <w:rsid w:val="00FA5F32"/>
    <w:rsid w:val="00FB7C35"/>
    <w:rsid w:val="00FC05D3"/>
    <w:rsid w:val="00FC7826"/>
    <w:rsid w:val="00FF6EA3"/>
    <w:rsid w:val="011F7227"/>
    <w:rsid w:val="042068D6"/>
    <w:rsid w:val="05814FC9"/>
    <w:rsid w:val="06466906"/>
    <w:rsid w:val="06B75171"/>
    <w:rsid w:val="086C4388"/>
    <w:rsid w:val="095E4552"/>
    <w:rsid w:val="0B560EAA"/>
    <w:rsid w:val="0B735EDD"/>
    <w:rsid w:val="0B7C35E9"/>
    <w:rsid w:val="0BE9030B"/>
    <w:rsid w:val="0CE447FD"/>
    <w:rsid w:val="0F3D5DB9"/>
    <w:rsid w:val="10A06571"/>
    <w:rsid w:val="11F748B7"/>
    <w:rsid w:val="11FA7F03"/>
    <w:rsid w:val="1502676A"/>
    <w:rsid w:val="158F7BCD"/>
    <w:rsid w:val="164E0777"/>
    <w:rsid w:val="1A391B12"/>
    <w:rsid w:val="1AFA7B93"/>
    <w:rsid w:val="1B3976C6"/>
    <w:rsid w:val="1D7772EE"/>
    <w:rsid w:val="1EC01763"/>
    <w:rsid w:val="1F6B2318"/>
    <w:rsid w:val="22830885"/>
    <w:rsid w:val="23CC239E"/>
    <w:rsid w:val="26813DEB"/>
    <w:rsid w:val="26881C87"/>
    <w:rsid w:val="26DC643E"/>
    <w:rsid w:val="27B76F11"/>
    <w:rsid w:val="28E8012C"/>
    <w:rsid w:val="2F0D234C"/>
    <w:rsid w:val="2F16085F"/>
    <w:rsid w:val="2F5B04AC"/>
    <w:rsid w:val="31DF7154"/>
    <w:rsid w:val="351B4DBD"/>
    <w:rsid w:val="360E4A64"/>
    <w:rsid w:val="367E10C3"/>
    <w:rsid w:val="39034C09"/>
    <w:rsid w:val="3A4B7BAC"/>
    <w:rsid w:val="3CF5550F"/>
    <w:rsid w:val="3E3863DC"/>
    <w:rsid w:val="40090C18"/>
    <w:rsid w:val="403B012E"/>
    <w:rsid w:val="415B05A5"/>
    <w:rsid w:val="418E2A04"/>
    <w:rsid w:val="422578ED"/>
    <w:rsid w:val="46F651EC"/>
    <w:rsid w:val="4704173F"/>
    <w:rsid w:val="47383810"/>
    <w:rsid w:val="495C3F8A"/>
    <w:rsid w:val="4B286263"/>
    <w:rsid w:val="4C9B3AB5"/>
    <w:rsid w:val="4DF337D8"/>
    <w:rsid w:val="51F16131"/>
    <w:rsid w:val="53906E77"/>
    <w:rsid w:val="540B5AF4"/>
    <w:rsid w:val="54B82705"/>
    <w:rsid w:val="54E12281"/>
    <w:rsid w:val="554C319D"/>
    <w:rsid w:val="556973E2"/>
    <w:rsid w:val="57273865"/>
    <w:rsid w:val="57D028A0"/>
    <w:rsid w:val="580D2801"/>
    <w:rsid w:val="59D13ADD"/>
    <w:rsid w:val="5BA55C6E"/>
    <w:rsid w:val="5CBA7346"/>
    <w:rsid w:val="5D815159"/>
    <w:rsid w:val="5DDE7D8D"/>
    <w:rsid w:val="5FAF6681"/>
    <w:rsid w:val="612754C0"/>
    <w:rsid w:val="61890FD7"/>
    <w:rsid w:val="65DE7351"/>
    <w:rsid w:val="6B5823CB"/>
    <w:rsid w:val="712535CF"/>
    <w:rsid w:val="71723720"/>
    <w:rsid w:val="71CF3E3F"/>
    <w:rsid w:val="73522CD2"/>
    <w:rsid w:val="737A5923"/>
    <w:rsid w:val="738D5656"/>
    <w:rsid w:val="74011B05"/>
    <w:rsid w:val="74681C20"/>
    <w:rsid w:val="75BD206C"/>
    <w:rsid w:val="765D1986"/>
    <w:rsid w:val="7A8203FD"/>
    <w:rsid w:val="7A8501AA"/>
    <w:rsid w:val="7CF22D0E"/>
    <w:rsid w:val="7EF73920"/>
    <w:rsid w:val="7FD112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日期 Char"/>
    <w:basedOn w:val="8"/>
    <w:link w:val="2"/>
    <w:semiHidden/>
    <w:qFormat/>
    <w:uiPriority w:val="99"/>
  </w:style>
  <w:style w:type="paragraph" w:customStyle="1" w:styleId="10">
    <w:name w:val="WPS Plain"/>
    <w:qFormat/>
    <w:uiPriority w:val="0"/>
    <w:rPr>
      <w:rFonts w:ascii="Times New Roman" w:hAnsi="Times New Roman" w:eastAsia="宋体" w:cs="Times New Roman"/>
      <w:lang w:val="en-US" w:eastAsia="zh-CN" w:bidi="ar-SA"/>
    </w:rPr>
  </w:style>
  <w:style w:type="character" w:customStyle="1" w:styleId="11">
    <w:name w:val="页眉 Char"/>
    <w:basedOn w:val="8"/>
    <w:link w:val="5"/>
    <w:qFormat/>
    <w:uiPriority w:val="99"/>
    <w:rPr>
      <w:kern w:val="2"/>
      <w:sz w:val="18"/>
      <w:szCs w:val="18"/>
    </w:rPr>
  </w:style>
  <w:style w:type="character" w:customStyle="1" w:styleId="12">
    <w:name w:val="页脚 Char"/>
    <w:basedOn w:val="8"/>
    <w:link w:val="4"/>
    <w:qFormat/>
    <w:uiPriority w:val="99"/>
    <w:rPr>
      <w:kern w:val="2"/>
      <w:sz w:val="18"/>
      <w:szCs w:val="18"/>
    </w:rPr>
  </w:style>
  <w:style w:type="character" w:customStyle="1" w:styleId="13">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1339</Words>
  <Characters>1593</Characters>
  <Lines>10</Lines>
  <Paragraphs>3</Paragraphs>
  <TotalTime>0</TotalTime>
  <ScaleCrop>false</ScaleCrop>
  <LinksUpToDate>false</LinksUpToDate>
  <CharactersWithSpaces>1632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2023-08-18T12:32:00Z</dcterms:created>
  <dc:creator>Administrator</dc:creator>
  <cp:lastModifiedBy>彬彬有礼</cp:lastModifiedBy>
  <cp:lastPrinted>2026-08-18T11:06:00Z</cp:lastPrinted>
  <dcterms:modified xsi:type="dcterms:W3CDTF">2026-08-21T02:08:17Z</dcterms:modified>
  <cp:revision>166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39CB39C515AA4098AE966952B5344C82_13</vt:lpwstr>
  </property>
  <property fmtid="{D5CDD505-2E9C-101B-9397-08002B2CF9AE}" pid="4" name="KSOTemplateDocerSaveRecord">
    <vt:lpwstr>eyJoZGlkIjoiODM4MWIxZWRkOWMzNjQ1ZGYzMGQ0YmVjZTM5YjUyM2YiLCJ1c2VySWQiOiIyODQ4MzgyOTkifQ==</vt:lpwstr>
  </property>
</Properties>
</file>