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幼儿园办园等级确定</w:t>
      </w:r>
      <w:r>
        <w:rPr>
          <w:rFonts w:hint="eastAsia"/>
          <w:b/>
          <w:sz w:val="36"/>
          <w:lang w:eastAsia="zh-CN"/>
        </w:rPr>
        <w:t>防控</w:t>
      </w:r>
      <w:bookmarkStart w:id="0" w:name="_GoBack"/>
      <w:bookmarkEnd w:id="0"/>
      <w:r>
        <w:rPr>
          <w:rFonts w:hint="eastAsia"/>
          <w:b/>
          <w:sz w:val="36"/>
        </w:rPr>
        <w:t>图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r>
        <w:pict>
          <v:shape id="_x0000_s2050" o:spid="_x0000_s2050" o:spt="32" type="#_x0000_t32" style="position:absolute;left:0pt;margin-left:354pt;margin-top:217.2pt;height:34.8pt;width:0pt;z-index:25167872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051" o:spid="_x0000_s2051" o:spt="32" type="#_x0000_t32" style="position:absolute;left:0pt;margin-left:178.2pt;margin-top:252pt;height:0pt;width:175.8pt;z-index:25167769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052" o:spid="_x0000_s2052" o:spt="32" type="#_x0000_t32" style="position:absolute;left:0pt;margin-left:354pt;margin-top:213.6pt;height:31.8pt;width:0pt;z-index:25167667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053" o:spid="_x0000_s2053" o:spt="32" type="#_x0000_t32" style="position:absolute;left:0pt;flip:x;margin-left:178.2pt;margin-top:213.6pt;height:38.4pt;width:0.6pt;z-index:25167564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054" o:spid="_x0000_s2054" o:spt="32" type="#_x0000_t32" style="position:absolute;left:0pt;margin-left:263.4pt;margin-top:131.7pt;height:37.5pt;width:0.6pt;z-index:25167462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055" o:spid="_x0000_s2055" o:spt="32" type="#_x0000_t32" style="position:absolute;left:0pt;margin-left:178.2pt;margin-top:131.7pt;height:37.5pt;width:0.6pt;z-index:25167360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056" o:spid="_x0000_s2056" o:spt="32" type="#_x0000_t32" style="position:absolute;left:0pt;margin-left:214.8pt;margin-top:84.4pt;height:19.4pt;width:0pt;z-index:25167257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057" o:spid="_x0000_s2057" o:spt="32" type="#_x0000_t32" style="position:absolute;left:0pt;margin-left:215.4pt;margin-top:36pt;height:16.8pt;width:0pt;z-index:25167155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058" o:spid="_x0000_s2058" o:spt="32" type="#_x0000_t32" style="position:absolute;left:0pt;flip:x;margin-left:214.8pt;margin-top:36pt;height:16.8pt;width:0.6pt;z-index:25167052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059" o:spid="_x0000_s2059" o:spt="202" type="#_x0000_t202" style="position:absolute;left:0pt;margin-left:318.6pt;margin-top:169.2pt;height:44.4pt;width:64.3pt;z-index:251666432;mso-width-relative:margin;mso-height-relative:margin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四类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幼儿园</w:t>
                  </w:r>
                </w:p>
              </w:txbxContent>
            </v:textbox>
          </v:shape>
        </w:pict>
      </w:r>
      <w:r>
        <w:pict>
          <v:shape id="_x0000_s2060" o:spid="_x0000_s2060" o:spt="202" type="#_x0000_t202" style="position:absolute;left:0pt;margin-left:231.5pt;margin-top:169.2pt;height:44.4pt;width:63.7pt;z-index:251663360;mso-width-relative:margin;mso-height-relative:margin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三类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幼儿园</w:t>
                  </w:r>
                </w:p>
              </w:txbxContent>
            </v:textbox>
          </v:shape>
        </w:pict>
      </w:r>
      <w:r>
        <w:pict>
          <v:shape id="_x0000_s2061" o:spid="_x0000_s2061" o:spt="202" type="#_x0000_t202" style="position:absolute;left:0pt;margin-left:145.1pt;margin-top:169.2pt;height:44.4pt;width:64.8pt;z-index:251667456;mso-width-relative:margin;mso-height-relative:margin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二类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幼儿园</w:t>
                  </w:r>
                </w:p>
              </w:txbxContent>
            </v:textbox>
          </v:shape>
        </w:pict>
      </w:r>
      <w:r>
        <w:pict>
          <v:shape id="_x0000_s2062" o:spid="_x0000_s2062" o:spt="202" type="#_x0000_t202" style="position:absolute;left:0pt;margin-left:51.6pt;margin-top:169.2pt;height:44.4pt;width:64.4pt;z-index:251664384;mso-width-relative:margin;mso-height-relative:margin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一类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幼儿园</w:t>
                  </w:r>
                </w:p>
              </w:txbxContent>
            </v:textbox>
          </v:shape>
        </w:pict>
      </w:r>
      <w:r>
        <w:pict>
          <v:shape id="_x0000_s2063" o:spid="_x0000_s2063" o:spt="32" type="#_x0000_t32" style="position:absolute;left:0pt;margin-left:214.8pt;margin-top:42pt;height:1.8pt;width:0.6pt;z-index:251669504;mso-width-relative:page;mso-height-relative:page;" o:connectortype="straight" filled="f" stroked="t" coordsize="21600,21600">
            <v:path arrowok="t"/>
            <v:fill on="f" focussize="0,0"/>
            <v:stroke weight="3pt" color="#F2F2F2" endarrow="block"/>
            <v:imagedata o:title=""/>
            <o:lock v:ext="edit"/>
          </v:shape>
        </w:pict>
      </w:r>
      <w:r>
        <w:pict>
          <v:shape id="_x0000_s2064" o:spid="_x0000_s2064" o:spt="202" type="#_x0000_t202" style="position:absolute;left:0pt;margin-left:51.6pt;margin-top:7.8pt;height:28.2pt;width:319.8pt;z-index:251660288;mso-width-relative:margin;mso-height-relative:margin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下达评选文件实施方案及《吕梁市幼儿园办园水平分类评估标准》</w:t>
                  </w:r>
                </w:p>
              </w:txbxContent>
            </v:textbox>
          </v:shape>
        </w:pict>
      </w:r>
      <w:r>
        <w:pict>
          <v:shape id="_x0000_s2066" o:spid="_x0000_s2066" o:spt="202" type="#_x0000_t202" style="position:absolute;left:0pt;margin-left:72.6pt;margin-top:52.8pt;height:31.6pt;width:281.4pt;z-index:251668480;mso-width-relative:margin;mso-height-relative:margin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幼儿园根</w:t>
                  </w:r>
                  <w:r>
                    <w:rPr>
                      <w:rFonts w:hint="eastAsia"/>
                      <w:lang w:eastAsia="zh-CN"/>
                    </w:rPr>
                    <w:t>据</w:t>
                  </w:r>
                  <w:r>
                    <w:rPr>
                      <w:rFonts w:hint="eastAsia"/>
                    </w:rPr>
                    <w:t>《吕梁市幼儿园办园水平分类评估标准》</w:t>
                  </w:r>
                  <w:r>
                    <w:rPr>
                      <w:rFonts w:hint="eastAsia"/>
                      <w:lang w:eastAsia="zh-CN"/>
                    </w:rPr>
                    <w:t>自评</w:t>
                  </w:r>
                </w:p>
              </w:txbxContent>
            </v:textbox>
          </v:shape>
        </w:pict>
      </w:r>
    </w:p>
    <w:p/>
    <w:p/>
    <w:p/>
    <w:p/>
    <w:p>
      <w:r>
        <w:rPr>
          <w:sz w:val="21"/>
        </w:rPr>
        <w:pict>
          <v:rect id="_x0000_s2077" o:spid="_x0000_s2077" o:spt="1" style="position:absolute;left:0pt;margin-left:329.85pt;margin-top:4.15pt;height:35.5pt;width:44.35pt;z-index:251770880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防控措施</w:t>
                  </w:r>
                </w:p>
              </w:txbxContent>
            </v:textbox>
          </v:rect>
        </w:pict>
      </w:r>
    </w:p>
    <w:p>
      <w:r>
        <w:rPr>
          <w:sz w:val="21"/>
        </w:rPr>
        <w:pict>
          <v:rect id="_x0000_s2075" o:spid="_x0000_s2075" o:spt="1" style="position:absolute;left:0pt;margin-left:371.7pt;margin-top:4.75pt;height:68.1pt;width:124.35pt;z-index:251768832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numPr>
                      <w:ilvl w:val="0"/>
                      <w:numId w:val="1"/>
                    </w:num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量化评估标准，执行回避制度。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2人以上参加现场评估。</w:t>
                  </w:r>
                </w:p>
              </w:txbxContent>
            </v:textbox>
          </v:rect>
        </w:pict>
      </w:r>
      <w:r>
        <w:rPr>
          <w:sz w:val="21"/>
        </w:rPr>
        <w:pict>
          <v:shape id="_x0000_s2074" o:spid="_x0000_s2074" o:spt="109" type="#_x0000_t109" style="position:absolute;left:0pt;margin-left:-51.4pt;margin-top:1.65pt;height:73.1pt;width:105pt;z-index:251767808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numPr>
                      <w:ilvl w:val="0"/>
                      <w:numId w:val="2"/>
                    </w:num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擅自增加和减少评估程序。</w:t>
                  </w:r>
                </w:p>
                <w:p>
                  <w:pPr>
                    <w:numPr>
                      <w:ilvl w:val="0"/>
                      <w:numId w:val="2"/>
                    </w:num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对实地评估不客观、不公正。</w:t>
                  </w:r>
                </w:p>
              </w:txbxContent>
            </v:textbox>
          </v:shape>
        </w:pict>
      </w:r>
      <w:r>
        <w:pict>
          <v:shape id="_x0000_s2065" o:spid="_x0000_s2065" o:spt="202" type="#_x0000_t202" style="position:absolute;left:0pt;margin-left:110pt;margin-top:10.2pt;height:27.9pt;width:219.65pt;z-index:251661312;mso-width-relative:margin;mso-height-relative:margin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县教育和科技局成立领导组进行县级评估</w:t>
                  </w:r>
                </w:p>
              </w:txbxContent>
            </v:textbox>
          </v:shape>
        </w:pict>
      </w:r>
    </w:p>
    <w:p>
      <w:r>
        <w:rPr>
          <w:sz w:val="21"/>
        </w:rPr>
        <w:pict>
          <v:line id="_x0000_s2073" o:spid="_x0000_s2073" o:spt="20" style="position:absolute;left:0pt;margin-left:331.1pt;margin-top:14.15pt;height:0.05pt;width:40.6pt;z-index:251766784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shape id="_x0000_s2076" o:spid="_x0000_s2076" o:spt="109" type="#_x0000_t109" style="position:absolute;left:0pt;margin-left:57.1pt;margin-top:12.35pt;height:28.95pt;width:49.55pt;z-index:251769856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风险点</w:t>
                  </w:r>
                </w:p>
              </w:txbxContent>
            </v:textbox>
          </v:shape>
        </w:pict>
      </w:r>
      <w:r>
        <w:rPr>
          <w:sz w:val="21"/>
        </w:rPr>
        <w:pict>
          <v:line id="_x0000_s2072" o:spid="_x0000_s2072" o:spt="20" style="position:absolute;left:0pt;flip:x;margin-left:58pt;margin-top:7.3pt;height:0.05pt;width:50.6pt;z-index:251765760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</w:p>
    <w:p>
      <w:r>
        <w:pict>
          <v:shape id="_x0000_s2067" o:spid="_x0000_s2067" o:spt="32" type="#_x0000_t32" style="position:absolute;left:0pt;flip:x;margin-left:337.8pt;margin-top:6.9pt;height:37.5pt;width:0.6pt;z-index:2516828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/>
    <w:p/>
    <w:p/>
    <w:p/>
    <w:p/>
    <w:p/>
    <w:p/>
    <w:p>
      <w:pPr>
        <w:tabs>
          <w:tab w:val="left" w:pos="4728"/>
        </w:tabs>
        <w:rPr>
          <w:rFonts w:hint="eastAsia"/>
        </w:rPr>
      </w:pPr>
      <w:r>
        <w:pict>
          <v:shape id="_x0000_s2068" o:spid="_x0000_s2068" o:spt="32" type="#_x0000_t32" style="position:absolute;left:0pt;margin-left:284.4pt;margin-top:12.75pt;height:48pt;width:0pt;z-index:25176473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069" o:spid="_x0000_s2069" o:spt="32" type="#_x0000_t32" style="position:absolute;left:0pt;margin-left:82.65pt;margin-top:-30pt;height:83.25pt;width:0pt;z-index:251707392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  <w:r>
        <w:tab/>
      </w:r>
    </w:p>
    <w:p>
      <w:pPr>
        <w:tabs>
          <w:tab w:val="left" w:pos="4728"/>
        </w:tabs>
        <w:jc w:val="left"/>
      </w:pPr>
      <w:r>
        <w:pict>
          <v:shape id="_x0000_s2070" o:spid="_x0000_s2070" o:spt="202" type="#_x0000_t202" style="position:absolute;left:0pt;margin-left:173.45pt;margin-top:51pt;height:25.1pt;width:225.6pt;z-index:251665408;mso-width-relative:margin;mso-height-relative:margin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 xml:space="preserve"> 二、三、四类幼儿园县教育和科技局评估确定</w:t>
                  </w:r>
                </w:p>
              </w:txbxContent>
            </v:textbox>
          </v:shape>
        </w:pict>
      </w:r>
      <w:r>
        <w:pict>
          <v:shape id="_x0000_s2071" o:spid="_x0000_s2071" o:spt="202" type="#_x0000_t202" style="position:absolute;left:0pt;margin-left:-15.9pt;margin-top:53.25pt;height:24.15pt;width:152.85pt;z-index:251714560;mso-width-relative:margin;mso-height-relative:margin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tabs>
                      <w:tab w:val="left" w:pos="4728"/>
                    </w:tabs>
                    <w:jc w:val="left"/>
                  </w:pPr>
                  <w:r>
                    <w:rPr>
                      <w:rFonts w:hint="eastAsia"/>
                    </w:rPr>
                    <w:t xml:space="preserve">一类幼儿园市教育局评估确定      </w:t>
                  </w:r>
                </w:p>
                <w:p/>
              </w:txbxContent>
            </v:textbox>
          </v:shape>
        </w:pict>
      </w:r>
      <w:r>
        <w:rPr>
          <w:rFonts w:hint="eastAsia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31169"/>
    <w:multiLevelType w:val="singleLevel"/>
    <w:tmpl w:val="1A13116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A326001"/>
    <w:multiLevelType w:val="singleLevel"/>
    <w:tmpl w:val="6A32600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6650"/>
    <w:rsid w:val="000A6650"/>
    <w:rsid w:val="000D526D"/>
    <w:rsid w:val="001B3012"/>
    <w:rsid w:val="00593EA3"/>
    <w:rsid w:val="007A0B3A"/>
    <w:rsid w:val="00AD0B9F"/>
    <w:rsid w:val="00C70A65"/>
    <w:rsid w:val="00C93864"/>
    <w:rsid w:val="00C94A16"/>
    <w:rsid w:val="00CB3321"/>
    <w:rsid w:val="00D272C5"/>
    <w:rsid w:val="25A54593"/>
    <w:rsid w:val="63277FD0"/>
    <w:rsid w:val="7665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0"/>
        <o:r id="V:Rule2" type="connector" idref="#_x0000_s2051"/>
        <o:r id="V:Rule3" type="connector" idref="#_x0000_s2052"/>
        <o:r id="V:Rule4" type="connector" idref="#_x0000_s2053"/>
        <o:r id="V:Rule5" type="connector" idref="#_x0000_s2054"/>
        <o:r id="V:Rule6" type="connector" idref="#_x0000_s2055"/>
        <o:r id="V:Rule7" type="connector" idref="#_x0000_s2056"/>
        <o:r id="V:Rule8" type="connector" idref="#_x0000_s2057"/>
        <o:r id="V:Rule9" type="connector" idref="#_x0000_s2058"/>
        <o:r id="V:Rule10" type="connector" idref="#_x0000_s2063"/>
        <o:r id="V:Rule11" type="connector" idref="#_x0000_s2067"/>
        <o:r id="V:Rule12" type="connector" idref="#_x0000_s2068"/>
        <o:r id="V:Rule13" type="connector" idref="#_x0000_s206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6"/>
    <customShpInfo spid="_x0000_s2077"/>
    <customShpInfo spid="_x0000_s2075"/>
    <customShpInfo spid="_x0000_s2074"/>
    <customShpInfo spid="_x0000_s2065"/>
    <customShpInfo spid="_x0000_s2073"/>
    <customShpInfo spid="_x0000_s2076"/>
    <customShpInfo spid="_x0000_s2072"/>
    <customShpInfo spid="_x0000_s2067"/>
    <customShpInfo spid="_x0000_s2068"/>
    <customShpInfo spid="_x0000_s2069"/>
    <customShpInfo spid="_x0000_s2070"/>
    <customShpInfo spid="_x0000_s207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84</Characters>
  <Lines>1</Lines>
  <Paragraphs>1</Paragraphs>
  <TotalTime>6</TotalTime>
  <ScaleCrop>false</ScaleCrop>
  <LinksUpToDate>false</LinksUpToDate>
  <CharactersWithSpaces>97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2021-07-18T08:42:00Z</dcterms:created>
  <dc:creator>xtzj</dc:creator>
  <cp:lastModifiedBy>Administrator</cp:lastModifiedBy>
  <dcterms:modified xsi:type="dcterms:W3CDTF">2021-07-18T13:24:44Z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